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B488E">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3BC2C10D">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762AF7E1">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032CBB0C">
      <w:pPr>
        <w:widowControl w:val="0"/>
        <w:overflowPunct w:val="0"/>
        <w:spacing w:line="720" w:lineRule="auto"/>
        <w:ind w:left="-420" w:leftChars="-200" w:firstLine="880" w:firstLineChars="200"/>
        <w:jc w:val="both"/>
        <w:rPr>
          <w:rFonts w:hint="eastAsia" w:ascii="方正小标宋简体" w:hAnsi="方正小标宋简体" w:eastAsia="方正小标宋简体" w:cs="方正小标宋简体"/>
          <w:bCs/>
          <w:sz w:val="44"/>
          <w:szCs w:val="44"/>
          <w:lang w:eastAsia="zh-CN"/>
        </w:rPr>
      </w:pPr>
      <w:bookmarkStart w:id="0" w:name="_GoBack"/>
      <w:bookmarkEnd w:id="0"/>
      <w:r>
        <w:rPr>
          <w:rFonts w:hint="eastAsia" w:ascii="方正小标宋简体" w:hAnsi="方正小标宋简体" w:eastAsia="方正小标宋简体" w:cs="方正小标宋简体"/>
          <w:bCs/>
          <w:sz w:val="44"/>
          <w:szCs w:val="44"/>
          <w:lang w:eastAsia="zh-CN"/>
        </w:rPr>
        <w:t>南阳市主城区排水（雨水、污水、中水）</w:t>
      </w:r>
    </w:p>
    <w:p w14:paraId="58692066">
      <w:pPr>
        <w:widowControl w:val="0"/>
        <w:overflowPunct w:val="0"/>
        <w:spacing w:line="720" w:lineRule="auto"/>
        <w:ind w:firstLine="1760" w:firstLineChars="400"/>
        <w:jc w:val="both"/>
        <w:rPr>
          <w:rFonts w:hint="eastAsia" w:ascii="方正小标宋简体" w:hAnsi="方正小标宋简体" w:eastAsia="方正小标宋简体" w:cs="方正小标宋简体"/>
          <w:bCs/>
          <w:sz w:val="44"/>
          <w:szCs w:val="44"/>
          <w:lang w:val="zh-CN" w:eastAsia="zh-CN"/>
        </w:rPr>
      </w:pPr>
      <w:r>
        <w:rPr>
          <w:rFonts w:hint="eastAsia" w:ascii="方正小标宋简体" w:hAnsi="方正小标宋简体" w:eastAsia="方正小标宋简体" w:cs="方正小标宋简体"/>
          <w:bCs/>
          <w:sz w:val="44"/>
          <w:szCs w:val="44"/>
          <w:lang w:eastAsia="zh-CN"/>
        </w:rPr>
        <w:t>专项规划（202</w:t>
      </w:r>
      <w:r>
        <w:rPr>
          <w:rFonts w:hint="eastAsia" w:ascii="方正小标宋简体" w:hAnsi="方正小标宋简体" w:eastAsia="方正小标宋简体" w:cs="方正小标宋简体"/>
          <w:bCs/>
          <w:sz w:val="44"/>
          <w:szCs w:val="44"/>
          <w:lang w:val="en-US" w:eastAsia="zh-CN"/>
        </w:rPr>
        <w:t>3</w:t>
      </w:r>
      <w:r>
        <w:rPr>
          <w:rFonts w:hint="eastAsia" w:ascii="方正小标宋简体" w:hAnsi="方正小标宋简体" w:eastAsia="方正小标宋简体" w:cs="方正小标宋简体"/>
          <w:bCs/>
          <w:sz w:val="44"/>
          <w:szCs w:val="44"/>
          <w:lang w:eastAsia="zh-CN"/>
        </w:rPr>
        <w:t>-2035年）</w:t>
      </w:r>
    </w:p>
    <w:p w14:paraId="00A917E3">
      <w:pPr>
        <w:widowControl w:val="0"/>
        <w:overflowPunct w:val="0"/>
        <w:spacing w:line="720" w:lineRule="auto"/>
        <w:ind w:left="420" w:leftChars="200" w:firstLine="3080" w:firstLineChars="700"/>
        <w:jc w:val="both"/>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公示稿</w:t>
      </w:r>
    </w:p>
    <w:p w14:paraId="54246ADC">
      <w:pPr>
        <w:pStyle w:val="3"/>
        <w:rPr>
          <w:rFonts w:hint="eastAsia" w:ascii="方正小标宋简体" w:hAnsi="方正小标宋简体" w:eastAsia="方正小标宋简体" w:cs="方正小标宋简体"/>
          <w:bCs/>
          <w:sz w:val="44"/>
          <w:szCs w:val="44"/>
          <w:lang w:val="en-US" w:eastAsia="zh-CN"/>
        </w:rPr>
      </w:pPr>
    </w:p>
    <w:p w14:paraId="3DF7B29E">
      <w:pPr>
        <w:pStyle w:val="4"/>
        <w:rPr>
          <w:rFonts w:hint="eastAsia" w:ascii="方正小标宋简体" w:hAnsi="方正小标宋简体" w:eastAsia="方正小标宋简体" w:cs="方正小标宋简体"/>
          <w:bCs/>
          <w:sz w:val="44"/>
          <w:szCs w:val="44"/>
        </w:rPr>
      </w:pPr>
    </w:p>
    <w:p w14:paraId="3CA3991A">
      <w:pPr>
        <w:pStyle w:val="4"/>
        <w:rPr>
          <w:rFonts w:hint="eastAsia" w:ascii="方正小标宋简体" w:hAnsi="方正小标宋简体" w:eastAsia="方正小标宋简体" w:cs="方正小标宋简体"/>
          <w:bCs/>
          <w:sz w:val="44"/>
          <w:szCs w:val="44"/>
        </w:rPr>
      </w:pPr>
    </w:p>
    <w:p w14:paraId="52813382">
      <w:pPr>
        <w:pStyle w:val="4"/>
        <w:rPr>
          <w:rFonts w:hint="eastAsia" w:ascii="方正小标宋简体" w:hAnsi="方正小标宋简体" w:eastAsia="方正小标宋简体" w:cs="方正小标宋简体"/>
          <w:bCs/>
          <w:sz w:val="44"/>
          <w:szCs w:val="44"/>
        </w:rPr>
      </w:pPr>
    </w:p>
    <w:p w14:paraId="58BE911A">
      <w:pPr>
        <w:pStyle w:val="4"/>
        <w:rPr>
          <w:rFonts w:hint="eastAsia" w:ascii="方正小标宋简体" w:hAnsi="方正小标宋简体" w:eastAsia="方正小标宋简体" w:cs="方正小标宋简体"/>
          <w:bCs/>
          <w:sz w:val="44"/>
          <w:szCs w:val="44"/>
        </w:rPr>
      </w:pPr>
    </w:p>
    <w:p w14:paraId="04057C5B">
      <w:pPr>
        <w:pStyle w:val="4"/>
        <w:rPr>
          <w:rFonts w:hint="eastAsia" w:ascii="方正小标宋简体" w:hAnsi="方正小标宋简体" w:eastAsia="方正小标宋简体" w:cs="方正小标宋简体"/>
          <w:bCs/>
          <w:sz w:val="44"/>
          <w:szCs w:val="44"/>
        </w:rPr>
      </w:pPr>
    </w:p>
    <w:p w14:paraId="1DD2C022">
      <w:pPr>
        <w:widowControl w:val="0"/>
        <w:overflowPunct w:val="0"/>
        <w:spacing w:line="576" w:lineRule="exact"/>
        <w:ind w:firstLine="2880" w:firstLineChars="9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南阳住房与城乡建设局</w:t>
      </w:r>
    </w:p>
    <w:p w14:paraId="7C11E9D5">
      <w:pPr>
        <w:widowControl w:val="0"/>
        <w:overflowPunct w:val="0"/>
        <w:spacing w:line="576" w:lineRule="exact"/>
        <w:ind w:firstLine="3520" w:firstLineChars="11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2025年7月</w:t>
      </w:r>
    </w:p>
    <w:p w14:paraId="40DF84EA">
      <w:pPr>
        <w:pStyle w:val="3"/>
        <w:rPr>
          <w:rFonts w:hint="default"/>
          <w:lang w:val="en-US" w:eastAsia="zh-CN"/>
        </w:rPr>
      </w:pPr>
    </w:p>
    <w:p w14:paraId="6F592B99">
      <w:pPr>
        <w:pStyle w:val="4"/>
        <w:rPr>
          <w:rFonts w:hint="eastAsia" w:ascii="方正小标宋简体" w:hAnsi="方正小标宋简体" w:eastAsia="方正小标宋简体" w:cs="方正小标宋简体"/>
          <w:bCs/>
          <w:sz w:val="44"/>
          <w:szCs w:val="44"/>
        </w:rPr>
      </w:pPr>
    </w:p>
    <w:p w14:paraId="25E0048C">
      <w:pPr>
        <w:widowControl w:val="0"/>
        <w:overflowPunct w:val="0"/>
        <w:spacing w:line="576" w:lineRule="exact"/>
        <w:ind w:firstLine="643" w:firstLineChars="200"/>
        <w:rPr>
          <w:rFonts w:hint="eastAsia" w:ascii="黑体" w:hAnsi="黑体" w:eastAsia="黑体" w:cs="黑体"/>
          <w:b/>
          <w:bCs/>
          <w:sz w:val="32"/>
          <w:szCs w:val="32"/>
          <w:lang w:val="zh-CN" w:eastAsia="zh-CN"/>
        </w:rPr>
      </w:pPr>
      <w:r>
        <w:rPr>
          <w:rFonts w:hint="eastAsia" w:ascii="黑体" w:hAnsi="黑体" w:eastAsia="黑体" w:cs="黑体"/>
          <w:b/>
          <w:bCs/>
          <w:sz w:val="32"/>
          <w:szCs w:val="32"/>
        </w:rPr>
        <w:t>一、</w:t>
      </w:r>
      <w:r>
        <w:rPr>
          <w:rFonts w:hint="eastAsia" w:ascii="黑体" w:hAnsi="黑体" w:eastAsia="黑体" w:cs="黑体"/>
          <w:b/>
          <w:bCs/>
          <w:sz w:val="32"/>
          <w:szCs w:val="32"/>
          <w:lang w:val="zh-CN"/>
        </w:rPr>
        <w:t>规划</w:t>
      </w:r>
      <w:r>
        <w:rPr>
          <w:rFonts w:hint="eastAsia" w:ascii="黑体" w:hAnsi="黑体" w:eastAsia="黑体" w:cs="黑体"/>
          <w:b/>
          <w:bCs/>
          <w:sz w:val="32"/>
          <w:szCs w:val="32"/>
          <w:lang w:val="en-US" w:eastAsia="zh-CN"/>
        </w:rPr>
        <w:t>背景</w:t>
      </w:r>
    </w:p>
    <w:p w14:paraId="2631389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为完善南阳市</w:t>
      </w:r>
      <w:r>
        <w:rPr>
          <w:rFonts w:hint="eastAsia" w:ascii="仿宋_GB2312" w:hAnsi="仿宋_GB2312" w:eastAsia="仿宋_GB2312" w:cs="仿宋_GB2312"/>
          <w:color w:val="000000" w:themeColor="text1"/>
          <w:sz w:val="32"/>
          <w:szCs w:val="32"/>
          <w:lang w:eastAsia="zh-CN"/>
          <w14:textFill>
            <w14:solidFill>
              <w14:schemeClr w14:val="tx1"/>
            </w14:solidFill>
          </w14:textFill>
        </w:rPr>
        <w:t>主城区排水系统</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加强城区排水与污水处理的管理，保障城市排水与污水处理设施安全运行，防治城市水污染和内涝灾害，保障公民生命、财产安全和公共安全，更好地保护环境，对南阳市主城区排水专项进行修编用于</w:t>
      </w:r>
      <w:r>
        <w:rPr>
          <w:rFonts w:hint="eastAsia" w:ascii="仿宋_GB2312" w:hAnsi="仿宋_GB2312" w:eastAsia="仿宋_GB2312" w:cs="仿宋_GB2312"/>
          <w:color w:val="000000" w:themeColor="text1"/>
          <w:sz w:val="32"/>
          <w:szCs w:val="32"/>
          <w14:textFill>
            <w14:solidFill>
              <w14:schemeClr w14:val="tx1"/>
            </w14:solidFill>
          </w14:textFill>
        </w:rPr>
        <w:t>指导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主城区</w:t>
      </w:r>
      <w:r>
        <w:rPr>
          <w:rFonts w:hint="eastAsia" w:ascii="仿宋_GB2312" w:hAnsi="仿宋_GB2312" w:eastAsia="仿宋_GB2312" w:cs="仿宋_GB2312"/>
          <w:color w:val="000000" w:themeColor="text1"/>
          <w:sz w:val="32"/>
          <w:szCs w:val="32"/>
          <w:lang w:eastAsia="zh-CN"/>
          <w14:textFill>
            <w14:solidFill>
              <w14:schemeClr w14:val="tx1"/>
            </w14:solidFill>
          </w14:textFill>
        </w:rPr>
        <w:t>排水建设</w:t>
      </w:r>
      <w:r>
        <w:rPr>
          <w:rFonts w:hint="eastAsia" w:ascii="仿宋_GB2312" w:hAnsi="仿宋_GB2312" w:eastAsia="仿宋_GB2312" w:cs="仿宋_GB2312"/>
          <w:color w:val="000000" w:themeColor="text1"/>
          <w:sz w:val="32"/>
          <w:szCs w:val="32"/>
          <w14:textFill>
            <w14:solidFill>
              <w14:schemeClr w14:val="tx1"/>
            </w14:solidFill>
          </w14:textFill>
        </w:rPr>
        <w:t>有序发展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以南阳市国土空间总体规划为基础，</w:t>
      </w:r>
      <w:r>
        <w:rPr>
          <w:rFonts w:hint="eastAsia" w:ascii="仿宋_GB2312" w:hAnsi="仿宋_GB2312" w:eastAsia="仿宋_GB2312" w:cs="仿宋_GB2312"/>
          <w:color w:val="000000" w:themeColor="text1"/>
          <w:sz w:val="32"/>
          <w:szCs w:val="32"/>
          <w:lang w:eastAsia="zh-CN"/>
          <w14:textFill>
            <w14:solidFill>
              <w14:schemeClr w14:val="tx1"/>
            </w14:solidFill>
          </w14:textFill>
        </w:rPr>
        <w:t>南阳市住房与城乡建设局</w:t>
      </w:r>
      <w:r>
        <w:rPr>
          <w:rFonts w:hint="eastAsia" w:ascii="仿宋_GB2312" w:hAnsi="仿宋_GB2312" w:eastAsia="仿宋_GB2312" w:cs="仿宋_GB2312"/>
          <w:color w:val="000000" w:themeColor="text1"/>
          <w:sz w:val="32"/>
          <w:szCs w:val="32"/>
          <w14:textFill>
            <w14:solidFill>
              <w14:schemeClr w14:val="tx1"/>
            </w14:solidFill>
          </w14:textFill>
        </w:rPr>
        <w:t>组织编制了《</w:t>
      </w:r>
      <w:r>
        <w:rPr>
          <w:rFonts w:hint="eastAsia" w:ascii="仿宋_GB2312" w:hAnsi="仿宋_GB2312" w:eastAsia="仿宋_GB2312" w:cs="仿宋_GB2312"/>
          <w:color w:val="000000" w:themeColor="text1"/>
          <w:sz w:val="32"/>
          <w:szCs w:val="32"/>
          <w:lang w:eastAsia="zh-CN"/>
          <w14:textFill>
            <w14:solidFill>
              <w14:schemeClr w14:val="tx1"/>
            </w14:solidFill>
          </w14:textFill>
        </w:rPr>
        <w:t>南阳市主城区排水（雨水、污水、中水）专项规划（202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eastAsia="zh-CN"/>
          <w14:textFill>
            <w14:solidFill>
              <w14:schemeClr w14:val="tx1"/>
            </w14:solidFill>
          </w14:textFill>
        </w:rPr>
        <w:t>-2035年）</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（下称“本规划”）</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4DFDFCB6">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rPr>
        <w:t>、</w:t>
      </w:r>
      <w:r>
        <w:rPr>
          <w:rFonts w:hint="eastAsia" w:ascii="黑体" w:hAnsi="黑体" w:eastAsia="黑体" w:cs="黑体"/>
          <w:b/>
          <w:bCs/>
          <w:sz w:val="32"/>
          <w:szCs w:val="32"/>
          <w:lang w:val="zh-CN"/>
        </w:rPr>
        <w:t>规划</w:t>
      </w:r>
      <w:r>
        <w:rPr>
          <w:rFonts w:hint="eastAsia" w:ascii="黑体" w:hAnsi="黑体" w:eastAsia="黑体" w:cs="黑体"/>
          <w:b/>
          <w:bCs/>
          <w:sz w:val="32"/>
          <w:szCs w:val="32"/>
          <w:lang w:val="en-US" w:eastAsia="zh-CN"/>
        </w:rPr>
        <w:t>期限与范围</w:t>
      </w:r>
    </w:p>
    <w:p w14:paraId="6EA8B8B7">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1、规划期限</w:t>
      </w:r>
    </w:p>
    <w:p w14:paraId="149D7562">
      <w:pPr>
        <w:widowControl w:val="0"/>
        <w:overflowPunct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规划期限为202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—2035年</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其中，近期至2025年，远期至2035年。</w:t>
      </w:r>
    </w:p>
    <w:p w14:paraId="20AAD0E9">
      <w:pPr>
        <w:widowControl w:val="0"/>
        <w:overflowPunct w:val="0"/>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rPr>
        <w:t>规划范围</w:t>
      </w:r>
    </w:p>
    <w:p w14:paraId="06A49937">
      <w:pPr>
        <w:widowControl w:val="0"/>
        <w:overflowPunct w:val="0"/>
        <w:spacing w:line="576"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本次规划范围为《南阳市国土空间总体规划（202</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-2035年）》确定的主城区范围，含蒲山镇、红泥湾镇、潦河镇、黄台岗镇四个镇的镇区，空间范围北至商南高速，南至沪陕高速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白河东岸，东至郑万高铁（含高铁东产业组团），西至市辖区行政边界。</w:t>
      </w:r>
    </w:p>
    <w:p w14:paraId="77029F68">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三、指导思想</w:t>
      </w:r>
    </w:p>
    <w:p w14:paraId="6CA3A5F0">
      <w:pPr>
        <w:ind w:firstLine="48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以习近平新时代中国特色社会主义思想为指导，</w:t>
      </w:r>
      <w:r>
        <w:rPr>
          <w:rFonts w:hint="eastAsia" w:ascii="仿宋_GB2312" w:hAnsi="仿宋_GB2312" w:eastAsia="仿宋_GB2312" w:cs="仿宋_GB2312"/>
          <w:color w:val="auto"/>
          <w:sz w:val="32"/>
          <w:szCs w:val="32"/>
          <w:lang w:val="en-US" w:eastAsia="zh-CN"/>
        </w:rPr>
        <w:t>既要创造更多物质财富和精神财富以满足人民日益增长的美好生活需要，也要提供更多优质生态产品以满足人民日益增长的优美生态环境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需要，以持续打好污染防治攻坚战，系统推进污水处理领域补短板强弱项，推进污水资源化利用，促进解决水资源短缺、水环境污染、水生态损害问题，推动高质量发展、可持续发展。</w:t>
      </w:r>
      <w:r>
        <w:rPr>
          <w:rFonts w:hint="eastAsia" w:ascii="仿宋_GB2312" w:hAnsi="仿宋_GB2312" w:eastAsia="仿宋_GB2312" w:cs="仿宋_GB2312"/>
          <w:color w:val="000000" w:themeColor="text1"/>
          <w:sz w:val="32"/>
          <w:szCs w:val="32"/>
          <w14:textFill>
            <w14:solidFill>
              <w14:schemeClr w14:val="tx1"/>
            </w14:solidFill>
          </w14:textFill>
        </w:rPr>
        <w:t>为南阳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市</w:t>
      </w:r>
      <w:r>
        <w:rPr>
          <w:rFonts w:hint="eastAsia" w:ascii="仿宋_GB2312" w:hAnsi="仿宋_GB2312" w:eastAsia="仿宋_GB2312" w:cs="仿宋_GB2312"/>
          <w:color w:val="000000" w:themeColor="text1"/>
          <w:sz w:val="32"/>
          <w:szCs w:val="32"/>
          <w14:textFill>
            <w14:solidFill>
              <w14:schemeClr w14:val="tx1"/>
            </w14:solidFill>
          </w14:textFill>
        </w:rPr>
        <w:t>建设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省域副中心城市提供基础设施保障。</w:t>
      </w:r>
    </w:p>
    <w:p w14:paraId="66E8E8C9">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四、规划目标</w:t>
      </w:r>
    </w:p>
    <w:p w14:paraId="485E6917">
      <w:pPr>
        <w:ind w:firstLine="48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习近平新时代中国特色社会主义思想为指导，全面贯彻党的二十大精神及习近平生态文明思想，提升城镇生活污水收集处理能力，加大生活污水收集管网配套建设和改造力度，促进污水资源化利用，推进污泥无害化资源化处理处置，完善生活污水收集处理设施体系，提高污水处理率、收集率，提高排水排涝能力，提高排水系统运行安全性、稳定性，构建形成与新时代生态环境相匹配、满足水环境功能区划要求的排水系统规划体系。</w:t>
      </w:r>
    </w:p>
    <w:p w14:paraId="2861DB2B">
      <w:pPr>
        <w:ind w:firstLine="48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全面实现污水零直排、主干管网全覆盖、处理能力相匹配、污水排放高标准、污水资源高效利用。构建“外水不混入、污水零直排、处理高效能、尾水再利用”的城镇污水处理新格局。</w:t>
      </w:r>
    </w:p>
    <w:p w14:paraId="4C82B452">
      <w:pPr>
        <w:widowControl w:val="0"/>
        <w:overflowPunct w:val="0"/>
        <w:spacing w:line="576" w:lineRule="exact"/>
        <w:ind w:firstLine="643" w:firstLineChars="20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五</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规划主要内容</w:t>
      </w:r>
    </w:p>
    <w:p w14:paraId="75693E54">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1、现状排水系统分析</w:t>
      </w:r>
    </w:p>
    <w:p w14:paraId="5EBADB7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收集梳理现状排水体制概况，了解排水管道布置走向，管道末端水体去处。</w:t>
      </w:r>
    </w:p>
    <w:p w14:paraId="6A686CD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污水方面：主要收集梳理现状、在建及拟建污水厂、污水泵站、污水管网、污泥处理处置等资料，梳理现状排水体制等概况，并对运行情况进行复核评估，分析存在问题。</w:t>
      </w:r>
    </w:p>
    <w:p w14:paraId="67702E6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雨水方面：主要收集梳理现状、在建及拟建雨水管渠、排涝泵站、水闸、现状内涝点等资料，复核评估现状管渠排水标准，分析内涝点成因。</w:t>
      </w:r>
    </w:p>
    <w:p w14:paraId="1A686244">
      <w:pPr>
        <w:widowControl w:val="0"/>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lang w:val="zh-CN" w:eastAsia="zh-CN"/>
        </w:rPr>
        <w:t>排水体制确定</w:t>
      </w:r>
    </w:p>
    <w:p w14:paraId="522C9D5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综合《南阳市国土空间总体规划（202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14:textFill>
            <w14:solidFill>
              <w14:schemeClr w14:val="tx1"/>
            </w14:solidFill>
          </w14:textFill>
        </w:rPr>
        <w:t>-2035年）》规划，从环境保护要求、污水利用处理情况、原有排水设施、地形等条件，从全局出发，经综合分析比较后确定。</w:t>
      </w:r>
    </w:p>
    <w:p w14:paraId="23CF2A74">
      <w:pPr>
        <w:widowControl w:val="0"/>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3</w:t>
      </w:r>
      <w:r>
        <w:rPr>
          <w:rFonts w:hint="eastAsia" w:ascii="楷体_GB2312" w:hAnsi="楷体_GB2312" w:eastAsia="楷体_GB2312" w:cs="楷体_GB2312"/>
          <w:b/>
          <w:bCs/>
          <w:sz w:val="32"/>
          <w:szCs w:val="32"/>
          <w:lang w:val="zh-CN" w:eastAsia="zh-CN"/>
        </w:rPr>
        <w:t>、污水系统规划</w:t>
      </w:r>
    </w:p>
    <w:p w14:paraId="1F03FB0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（1）污水量预测及规划缺口评估</w:t>
      </w:r>
    </w:p>
    <w:p w14:paraId="00A9276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结合《南阳市国土空间总体规划（202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14:textFill>
            <w14:solidFill>
              <w14:schemeClr w14:val="tx1"/>
            </w14:solidFill>
          </w14:textFill>
        </w:rPr>
        <w:t>-2035年）》土地利用情况、人口现状及增长预测、土地利用规划、产业发展及布局等资料，并采用《南阳市主城区供水工程专项规划（2023-2035）》中的用水量预测成果，论证分析规划范围内的污水量。</w:t>
      </w:r>
    </w:p>
    <w:p w14:paraId="65AE787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（2）污水系统分区及污水厂布局规划</w:t>
      </w:r>
    </w:p>
    <w:p w14:paraId="51DF0B3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根据污水系统现状及运行情况，结合污水量预测成果，合理提出污水厂布局方案，确定规划期内污水厂规模，并结合《南阳市国土空间总体规划（202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14:textFill>
            <w14:solidFill>
              <w14:schemeClr w14:val="tx1"/>
            </w14:solidFill>
          </w14:textFill>
        </w:rPr>
        <w:t>-2035年）》，梳理划分各污水处理系统纳污范围。</w:t>
      </w:r>
    </w:p>
    <w:p w14:paraId="465B75B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（3）污水管网规划</w:t>
      </w:r>
    </w:p>
    <w:p w14:paraId="1A9C8B1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基于现状污水管网建设及排口分布情况，结合污水厂规划布局，与新、改、扩建道路配套雨污水管道等在建项目充分衔接，完善市政道路污水管网及配套污水提升泵站。</w:t>
      </w:r>
    </w:p>
    <w:p w14:paraId="3187E3A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（4）污泥处理处置规划</w:t>
      </w:r>
    </w:p>
    <w:p w14:paraId="4808E60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1）分析污泥处理处置现状及存在问题。</w:t>
      </w:r>
    </w:p>
    <w:p w14:paraId="1AFB7CE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2）结合污水厂规划规模，预测污泥产生及处置规模。</w:t>
      </w:r>
    </w:p>
    <w:p w14:paraId="31C948E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3）结合实际情况，对污泥处理、处置进行适应性分析，提出适合的污泥处理处置规划方案。</w:t>
      </w:r>
    </w:p>
    <w:p w14:paraId="6489C1BE">
      <w:pPr>
        <w:widowControl w:val="0"/>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4</w:t>
      </w:r>
      <w:r>
        <w:rPr>
          <w:rFonts w:hint="eastAsia" w:ascii="楷体_GB2312" w:hAnsi="楷体_GB2312" w:eastAsia="楷体_GB2312" w:cs="楷体_GB2312"/>
          <w:b/>
          <w:bCs/>
          <w:sz w:val="32"/>
          <w:szCs w:val="32"/>
          <w:lang w:val="zh-CN" w:eastAsia="zh-CN"/>
        </w:rPr>
        <w:t>、雨水系统规划</w:t>
      </w:r>
    </w:p>
    <w:p w14:paraId="15B3798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（1）雨水系统分区</w:t>
      </w:r>
    </w:p>
    <w:p w14:paraId="2086148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按照《南阳市国土空间总体规划（202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14:textFill>
            <w14:solidFill>
              <w14:schemeClr w14:val="tx1"/>
            </w14:solidFill>
          </w14:textFill>
        </w:rPr>
        <w:t>-2035年）》对城镇排水的要求，结合现状地形、水系分布等，遵循高水高排，低水底排、就近排水的原则划分雨水分区，并根据现状排水管网的功能因素调整分区边界。</w:t>
      </w:r>
    </w:p>
    <w:p w14:paraId="26CC63C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（2）雨水量计算及雨水管网规划</w:t>
      </w:r>
    </w:p>
    <w:p w14:paraId="51C3DA6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采用南阳市最新编制的暴雨强度公式计算雨水量，并基于现状排水管网布局、水系分布、竖向规划等，与新、改、扩建道路配套雨水管道等在建项目充分衔接，完善雨水管网系统。</w:t>
      </w:r>
    </w:p>
    <w:p w14:paraId="1734FF7B">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5、再生水规划</w:t>
      </w:r>
    </w:p>
    <w:p w14:paraId="1E9E97B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确定再生水使用用对象，预测再生水回用规模，布局再生水利用总体方案及再生水管网基本走势。</w:t>
      </w:r>
    </w:p>
    <w:p w14:paraId="461A17C0">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6、分期建设及计划</w:t>
      </w:r>
    </w:p>
    <w:p w14:paraId="44029FB7">
      <w:pPr>
        <w:widowControl w:val="0"/>
        <w:overflowPunct w:val="0"/>
        <w:spacing w:line="576" w:lineRule="exact"/>
        <w:ind w:firstLine="640" w:firstLineChars="200"/>
        <w:rPr>
          <w:rFonts w:hint="eastAsia" w:ascii="仿宋_GB2312" w:hAnsi="华文楷体" w:eastAsia="仿宋_GB2312" w:cs="Times New Roman"/>
          <w:kern w:val="2"/>
          <w:sz w:val="32"/>
          <w:szCs w:val="24"/>
          <w:lang w:val="en-US" w:eastAsia="zh-CN" w:bidi="ar-SA"/>
        </w:rPr>
      </w:pPr>
      <w:r>
        <w:rPr>
          <w:rFonts w:hint="eastAsia" w:ascii="仿宋_GB2312" w:hAnsi="仿宋_GB2312" w:eastAsia="仿宋_GB2312" w:cs="仿宋_GB2312"/>
          <w:color w:val="000000" w:themeColor="text1"/>
          <w:sz w:val="32"/>
          <w:szCs w:val="32"/>
          <w:lang w:val="zh-CN"/>
          <w14:textFill>
            <w14:solidFill>
              <w14:schemeClr w14:val="tx1"/>
            </w14:solidFill>
          </w14:textFill>
        </w:rPr>
        <w:t>根据国家及省十四五期间的目标及任务要求，按照工程内容的紧迫性和近期可实施性制定污水、雨水、中水工程近期建设计划。</w:t>
      </w:r>
    </w:p>
    <w:p w14:paraId="60C65D40">
      <w:pPr>
        <w:pStyle w:val="4"/>
        <w:rPr>
          <w:rFonts w:hint="eastAsia" w:ascii="仿宋_GB2312" w:hAnsi="华文楷体" w:eastAsia="仿宋_GB2312" w:cs="Times New Roman"/>
          <w:kern w:val="2"/>
          <w:sz w:val="32"/>
          <w:szCs w:val="24"/>
          <w:lang w:val="en-US" w:eastAsia="zh-CN" w:bidi="ar-SA"/>
        </w:rPr>
      </w:pPr>
    </w:p>
    <w:p w14:paraId="70767A74">
      <w:pPr>
        <w:pStyle w:val="4"/>
        <w:rPr>
          <w:rFonts w:hint="eastAsia" w:ascii="仿宋_GB2312" w:hAnsi="华文楷体" w:eastAsia="仿宋_GB2312" w:cs="Times New Roman"/>
          <w:kern w:val="2"/>
          <w:sz w:val="32"/>
          <w:szCs w:val="24"/>
          <w:lang w:val="en-US" w:eastAsia="zh-CN" w:bidi="ar-SA"/>
        </w:rPr>
      </w:pPr>
    </w:p>
    <w:p w14:paraId="27DA228D">
      <w:pPr>
        <w:pStyle w:val="4"/>
        <w:rPr>
          <w:rFonts w:hint="eastAsia" w:ascii="仿宋_GB2312" w:hAnsi="华文楷体" w:eastAsia="仿宋_GB2312" w:cs="Times New Roman"/>
          <w:kern w:val="2"/>
          <w:sz w:val="32"/>
          <w:szCs w:val="24"/>
          <w:lang w:val="en-US" w:eastAsia="zh-CN" w:bidi="ar-SA"/>
        </w:rPr>
      </w:pPr>
    </w:p>
    <w:p w14:paraId="638755B4">
      <w:pPr>
        <w:pStyle w:val="4"/>
        <w:rPr>
          <w:rFonts w:hint="eastAsia" w:ascii="仿宋_GB2312" w:hAnsi="华文楷体" w:eastAsia="仿宋_GB2312" w:cs="Times New Roman"/>
          <w:kern w:val="2"/>
          <w:sz w:val="32"/>
          <w:szCs w:val="24"/>
          <w:lang w:val="en-US" w:eastAsia="zh-CN" w:bidi="ar-SA"/>
        </w:rPr>
      </w:pPr>
    </w:p>
    <w:p w14:paraId="72EB3379">
      <w:pPr>
        <w:pStyle w:val="4"/>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附图</w:t>
      </w:r>
    </w:p>
    <w:p w14:paraId="28CF2C31">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附图1</w:t>
      </w:r>
      <w:r>
        <w:rPr>
          <w:rFonts w:hint="eastAsia" w:cs="Times New Roman"/>
          <w:kern w:val="2"/>
          <w:sz w:val="32"/>
          <w:szCs w:val="24"/>
          <w:lang w:val="en-US" w:eastAsia="zh-CN" w:bidi="ar-SA"/>
        </w:rPr>
        <w:t>：污水分区</w:t>
      </w:r>
      <w:r>
        <w:rPr>
          <w:rFonts w:hint="eastAsia" w:ascii="仿宋_GB2312" w:hAnsi="华文楷体" w:eastAsia="仿宋_GB2312" w:cs="Times New Roman"/>
          <w:kern w:val="2"/>
          <w:sz w:val="32"/>
          <w:szCs w:val="24"/>
          <w:lang w:val="en-US" w:eastAsia="zh-CN" w:bidi="ar-SA"/>
        </w:rPr>
        <w:t>规划图</w:t>
      </w:r>
    </w:p>
    <w:p w14:paraId="7BE3AC30">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2：雨水分区</w:t>
      </w:r>
      <w:r>
        <w:rPr>
          <w:rFonts w:hint="eastAsia" w:ascii="仿宋_GB2312" w:hAnsi="华文楷体" w:eastAsia="仿宋_GB2312" w:cs="Times New Roman"/>
          <w:kern w:val="2"/>
          <w:sz w:val="32"/>
          <w:szCs w:val="24"/>
          <w:lang w:val="en-US" w:eastAsia="zh-CN" w:bidi="ar-SA"/>
        </w:rPr>
        <w:t>规划图</w:t>
      </w:r>
    </w:p>
    <w:p w14:paraId="09553C5D">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3：排水设施布局</w:t>
      </w:r>
      <w:r>
        <w:rPr>
          <w:rFonts w:hint="eastAsia" w:ascii="仿宋_GB2312" w:hAnsi="华文楷体" w:eastAsia="仿宋_GB2312" w:cs="Times New Roman"/>
          <w:kern w:val="2"/>
          <w:sz w:val="32"/>
          <w:szCs w:val="24"/>
          <w:lang w:val="en-US" w:eastAsia="zh-CN" w:bidi="ar-SA"/>
        </w:rPr>
        <w:t>规划图</w:t>
      </w:r>
    </w:p>
    <w:p w14:paraId="4EC6B65C">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4：再生水利用工程规划</w:t>
      </w:r>
    </w:p>
    <w:p w14:paraId="52F19834">
      <w:pPr>
        <w:pStyle w:val="4"/>
        <w:rPr>
          <w:rFonts w:hint="eastAsia" w:ascii="仿宋_GB2312" w:hAnsi="华文楷体" w:eastAsia="仿宋_GB2312" w:cs="Times New Roman"/>
          <w:kern w:val="2"/>
          <w:sz w:val="32"/>
          <w:szCs w:val="24"/>
          <w:lang w:val="en-US" w:eastAsia="zh-CN" w:bidi="ar-SA"/>
        </w:rPr>
      </w:pPr>
    </w:p>
    <w:p w14:paraId="19D6E157">
      <w:pPr>
        <w:pStyle w:val="4"/>
        <w:rPr>
          <w:rFonts w:hint="eastAsia" w:ascii="仿宋_GB2312" w:hAnsi="华文楷体" w:eastAsia="仿宋_GB2312" w:cs="Times New Roman"/>
          <w:kern w:val="2"/>
          <w:sz w:val="32"/>
          <w:szCs w:val="24"/>
          <w:lang w:val="en-US" w:eastAsia="zh-CN" w:bidi="ar-SA"/>
        </w:rPr>
        <w:sectPr>
          <w:pgSz w:w="11906" w:h="16838"/>
          <w:pgMar w:top="1440" w:right="1706" w:bottom="1440" w:left="1800" w:header="851" w:footer="992" w:gutter="0"/>
          <w:cols w:space="425" w:num="1"/>
          <w:docGrid w:type="lines" w:linePitch="312" w:charSpace="0"/>
        </w:sectPr>
      </w:pPr>
    </w:p>
    <w:p w14:paraId="5C036B30">
      <w:pPr>
        <w:pStyle w:val="4"/>
        <w:jc w:val="both"/>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59264" behindDoc="0" locked="0" layoutInCell="1" allowOverlap="1">
            <wp:simplePos x="0" y="0"/>
            <wp:positionH relativeFrom="column">
              <wp:posOffset>-184150</wp:posOffset>
            </wp:positionH>
            <wp:positionV relativeFrom="paragraph">
              <wp:posOffset>49530</wp:posOffset>
            </wp:positionV>
            <wp:extent cx="5760085" cy="8143240"/>
            <wp:effectExtent l="0" t="0" r="12065" b="10160"/>
            <wp:wrapSquare wrapText="bothSides"/>
            <wp:docPr id="2" name="图片 2" descr="14主城区污水系统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主城区污水系统分区图"/>
                    <pic:cNvPicPr>
                      <a:picLocks noChangeAspect="1"/>
                    </pic:cNvPicPr>
                  </pic:nvPicPr>
                  <pic:blipFill>
                    <a:blip r:embed="rId4"/>
                    <a:stretch>
                      <a:fillRect/>
                    </a:stretch>
                  </pic:blipFill>
                  <pic:spPr>
                    <a:xfrm>
                      <a:off x="0" y="0"/>
                      <a:ext cx="5760085" cy="8143240"/>
                    </a:xfrm>
                    <a:prstGeom prst="rect">
                      <a:avLst/>
                    </a:prstGeom>
                  </pic:spPr>
                </pic:pic>
              </a:graphicData>
            </a:graphic>
          </wp:anchor>
        </w:drawing>
      </w:r>
    </w:p>
    <w:p w14:paraId="3C1C05CA">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0288" behindDoc="0" locked="0" layoutInCell="1" allowOverlap="1">
            <wp:simplePos x="0" y="0"/>
            <wp:positionH relativeFrom="column">
              <wp:posOffset>-165100</wp:posOffset>
            </wp:positionH>
            <wp:positionV relativeFrom="paragraph">
              <wp:posOffset>173355</wp:posOffset>
            </wp:positionV>
            <wp:extent cx="5760085" cy="8143240"/>
            <wp:effectExtent l="0" t="0" r="12065" b="10160"/>
            <wp:wrapSquare wrapText="bothSides"/>
            <wp:docPr id="3" name="图片 3" descr="18主城区雨水系统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主城区雨水系统分区规划图"/>
                    <pic:cNvPicPr>
                      <a:picLocks noChangeAspect="1"/>
                    </pic:cNvPicPr>
                  </pic:nvPicPr>
                  <pic:blipFill>
                    <a:blip r:embed="rId5"/>
                    <a:stretch>
                      <a:fillRect/>
                    </a:stretch>
                  </pic:blipFill>
                  <pic:spPr>
                    <a:xfrm>
                      <a:off x="0" y="0"/>
                      <a:ext cx="5760085" cy="8143240"/>
                    </a:xfrm>
                    <a:prstGeom prst="rect">
                      <a:avLst/>
                    </a:prstGeom>
                  </pic:spPr>
                </pic:pic>
              </a:graphicData>
            </a:graphic>
          </wp:anchor>
        </w:drawing>
      </w:r>
    </w:p>
    <w:p w14:paraId="0D5BA38A">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1312" behindDoc="0" locked="0" layoutInCell="1" allowOverlap="1">
            <wp:simplePos x="0" y="0"/>
            <wp:positionH relativeFrom="column">
              <wp:posOffset>-165100</wp:posOffset>
            </wp:positionH>
            <wp:positionV relativeFrom="paragraph">
              <wp:posOffset>192405</wp:posOffset>
            </wp:positionV>
            <wp:extent cx="5760720" cy="8143240"/>
            <wp:effectExtent l="0" t="0" r="11430" b="10160"/>
            <wp:wrapSquare wrapText="bothSides"/>
            <wp:docPr id="4" name="图片 4" descr="13主城区排水设施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主城区排水设施布局规划图"/>
                    <pic:cNvPicPr>
                      <a:picLocks noChangeAspect="1"/>
                    </pic:cNvPicPr>
                  </pic:nvPicPr>
                  <pic:blipFill>
                    <a:blip r:embed="rId6"/>
                    <a:stretch>
                      <a:fillRect/>
                    </a:stretch>
                  </pic:blipFill>
                  <pic:spPr>
                    <a:xfrm>
                      <a:off x="0" y="0"/>
                      <a:ext cx="5760720" cy="8143240"/>
                    </a:xfrm>
                    <a:prstGeom prst="rect">
                      <a:avLst/>
                    </a:prstGeom>
                  </pic:spPr>
                </pic:pic>
              </a:graphicData>
            </a:graphic>
          </wp:anchor>
        </w:drawing>
      </w:r>
    </w:p>
    <w:p w14:paraId="75F816D2">
      <w:pPr>
        <w:pStyle w:val="4"/>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2336" behindDoc="0" locked="0" layoutInCell="1" allowOverlap="1">
            <wp:simplePos x="0" y="0"/>
            <wp:positionH relativeFrom="column">
              <wp:posOffset>-174625</wp:posOffset>
            </wp:positionH>
            <wp:positionV relativeFrom="paragraph">
              <wp:posOffset>163830</wp:posOffset>
            </wp:positionV>
            <wp:extent cx="5760085" cy="8143240"/>
            <wp:effectExtent l="0" t="0" r="12065" b="10160"/>
            <wp:wrapSquare wrapText="bothSides"/>
            <wp:docPr id="5" name="图片 5" descr="22主城区再生水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主城区再生水利用规划图"/>
                    <pic:cNvPicPr>
                      <a:picLocks noChangeAspect="1"/>
                    </pic:cNvPicPr>
                  </pic:nvPicPr>
                  <pic:blipFill>
                    <a:blip r:embed="rId7"/>
                    <a:stretch>
                      <a:fillRect/>
                    </a:stretch>
                  </pic:blipFill>
                  <pic:spPr>
                    <a:xfrm>
                      <a:off x="0" y="0"/>
                      <a:ext cx="5760085" cy="814324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ZTQ3NzMwZTJiNjAzYzM2MDc5NDVlMTI2NWZkMTUifQ=="/>
  </w:docVars>
  <w:rsids>
    <w:rsidRoot w:val="20180206"/>
    <w:rsid w:val="02D92666"/>
    <w:rsid w:val="031D20D6"/>
    <w:rsid w:val="06113EC5"/>
    <w:rsid w:val="0A9E2FAC"/>
    <w:rsid w:val="0D0E61C1"/>
    <w:rsid w:val="11B1665D"/>
    <w:rsid w:val="159627D2"/>
    <w:rsid w:val="16763EEB"/>
    <w:rsid w:val="16930926"/>
    <w:rsid w:val="16AD2BAC"/>
    <w:rsid w:val="174B712B"/>
    <w:rsid w:val="182028BE"/>
    <w:rsid w:val="19440E6B"/>
    <w:rsid w:val="20180206"/>
    <w:rsid w:val="20570BEB"/>
    <w:rsid w:val="21074ED1"/>
    <w:rsid w:val="22CB781B"/>
    <w:rsid w:val="2598673B"/>
    <w:rsid w:val="280451E0"/>
    <w:rsid w:val="280C2087"/>
    <w:rsid w:val="281103B5"/>
    <w:rsid w:val="28A95D87"/>
    <w:rsid w:val="2977663F"/>
    <w:rsid w:val="2C5A4F9D"/>
    <w:rsid w:val="2DE81100"/>
    <w:rsid w:val="2F074CB1"/>
    <w:rsid w:val="320F75A3"/>
    <w:rsid w:val="363674FB"/>
    <w:rsid w:val="36C53863"/>
    <w:rsid w:val="374B2E2B"/>
    <w:rsid w:val="39B93453"/>
    <w:rsid w:val="411841B3"/>
    <w:rsid w:val="430A3B9B"/>
    <w:rsid w:val="474C468E"/>
    <w:rsid w:val="49E73E13"/>
    <w:rsid w:val="4A881849"/>
    <w:rsid w:val="51B57668"/>
    <w:rsid w:val="57B8376D"/>
    <w:rsid w:val="5EC31020"/>
    <w:rsid w:val="5F3E6C4E"/>
    <w:rsid w:val="603D6F06"/>
    <w:rsid w:val="633D0FCB"/>
    <w:rsid w:val="65277CCB"/>
    <w:rsid w:val="674543D4"/>
    <w:rsid w:val="6A633A0D"/>
    <w:rsid w:val="70C268FE"/>
    <w:rsid w:val="70CD6084"/>
    <w:rsid w:val="763B13A9"/>
    <w:rsid w:val="76F21C5B"/>
    <w:rsid w:val="77752FD1"/>
    <w:rsid w:val="77F653F7"/>
    <w:rsid w:val="7B1A5961"/>
    <w:rsid w:val="7DEF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widowControl w:val="0"/>
      <w:spacing w:line="360" w:lineRule="auto"/>
      <w:ind w:firstLine="562" w:firstLineChars="200"/>
    </w:pPr>
    <w:rPr>
      <w:rFonts w:ascii="宋体" w:hAnsi="宋体" w:cs="宋体"/>
      <w:sz w:val="24"/>
      <w:szCs w:val="24"/>
    </w:rPr>
  </w:style>
  <w:style w:type="paragraph" w:styleId="3">
    <w:name w:val="Body Text First Indent"/>
    <w:basedOn w:val="2"/>
    <w:next w:val="4"/>
    <w:qFormat/>
    <w:uiPriority w:val="0"/>
    <w:pPr>
      <w:ind w:firstLine="420" w:firstLineChars="100"/>
    </w:pPr>
    <w:rPr>
      <w:rFonts w:ascii="Calibri" w:hAnsi="Calibri"/>
    </w:rPr>
  </w:style>
  <w:style w:type="paragraph" w:styleId="4">
    <w:name w:val="Body Text First Indent 2"/>
    <w:qFormat/>
    <w:uiPriority w:val="0"/>
    <w:pPr>
      <w:widowControl w:val="0"/>
      <w:spacing w:after="120" w:line="360" w:lineRule="auto"/>
      <w:ind w:left="420" w:leftChars="200" w:firstLine="420" w:firstLineChars="200"/>
    </w:pPr>
    <w:rPr>
      <w:rFonts w:ascii="仿宋_GB2312" w:hAnsi="华文楷体"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1889</Words>
  <Characters>1968</Characters>
  <Lines>0</Lines>
  <Paragraphs>0</Paragraphs>
  <TotalTime>12</TotalTime>
  <ScaleCrop>false</ScaleCrop>
  <LinksUpToDate>false</LinksUpToDate>
  <CharactersWithSpaces>1968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2024-06-03T00:41:00Z</dcterms:created>
  <dc:creator>WPS_1716944658</dc:creator>
  <cp:lastModifiedBy>南阳院</cp:lastModifiedBy>
  <dcterms:modified xsi:type="dcterms:W3CDTF">2025-07-01T08:51:03Z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987C8669FF0B49E1B1550F8130FC38C0_13</vt:lpwstr>
  </property>
  <property fmtid="{D5CDD505-2E9C-101B-9397-08002B2CF9AE}" pid="4" name="KSOTemplateDocerSaveRecord">
    <vt:lpwstr>eyJoZGlkIjoiNzFjZDZhNGIzNTI4OWY0ZTY1MjZlNjVkMzExZDAyYTAiLCJ1c2VySWQiOiIxNDQ4NTk4MDczIn0=</vt:lpwstr>
  </property>
</Properties>
</file>