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4092">
      <w:pPr>
        <w:keepLines w:val="0"/>
        <w:ind w:firstLine="0" w:firstLineChars="0"/>
        <w:jc w:val="center"/>
        <w:rPr>
          <w:rFonts w:hint="eastAsia" w:ascii="方正小标宋简体" w:hAnsi="Times New Roman" w:eastAsia="方正小标宋简体" w:cs="Times New Roman"/>
          <w:bCs/>
          <w:sz w:val="44"/>
          <w:szCs w:val="44"/>
          <w:highlight w:val="none"/>
          <w:lang w:val="en-US" w:eastAsia="zh-CN"/>
        </w:rPr>
      </w:pPr>
      <w:bookmarkStart w:id="743" w:name="_GoBack"/>
      <w:bookmarkEnd w:id="743"/>
    </w:p>
    <w:p w14:paraId="2A3A8E87">
      <w:pPr>
        <w:keepLines w:val="0"/>
        <w:ind w:firstLine="0" w:firstLineChars="0"/>
        <w:jc w:val="center"/>
        <w:rPr>
          <w:rFonts w:hint="eastAsia" w:ascii="方正小标宋简体" w:hAnsi="Times New Roman" w:eastAsia="方正小标宋简体" w:cs="Times New Roman"/>
          <w:bCs/>
          <w:sz w:val="44"/>
          <w:szCs w:val="44"/>
          <w:highlight w:val="none"/>
          <w:lang w:val="en-US" w:eastAsia="zh-CN"/>
        </w:rPr>
      </w:pPr>
    </w:p>
    <w:p w14:paraId="7A371F61">
      <w:pPr>
        <w:keepLines w:val="0"/>
        <w:ind w:firstLine="0" w:firstLineChars="0"/>
        <w:jc w:val="center"/>
        <w:rPr>
          <w:rFonts w:hint="eastAsia" w:ascii="方正小标宋简体" w:hAnsi="Times New Roman" w:eastAsia="方正小标宋简体" w:cs="Times New Roman"/>
          <w:bCs/>
          <w:sz w:val="44"/>
          <w:szCs w:val="44"/>
          <w:highlight w:val="none"/>
          <w:lang w:val="en-US" w:eastAsia="zh-CN"/>
        </w:rPr>
      </w:pPr>
    </w:p>
    <w:p w14:paraId="0C3A5B9C">
      <w:pPr>
        <w:keepLines w:val="0"/>
        <w:ind w:firstLine="0" w:firstLineChars="0"/>
        <w:jc w:val="center"/>
        <w:rPr>
          <w:rFonts w:hint="eastAsia" w:ascii="方正小标宋简体" w:hAnsi="Times New Roman" w:eastAsia="方正小标宋简体" w:cs="Times New Roman"/>
          <w:bCs/>
          <w:sz w:val="44"/>
          <w:szCs w:val="44"/>
          <w:highlight w:val="none"/>
          <w:lang w:val="en-US" w:eastAsia="zh-CN"/>
        </w:rPr>
      </w:pPr>
    </w:p>
    <w:p w14:paraId="791C8B20">
      <w:pPr>
        <w:keepLines w:val="0"/>
        <w:ind w:firstLine="0" w:firstLineChars="0"/>
        <w:jc w:val="center"/>
        <w:rPr>
          <w:rFonts w:ascii="方正小标宋简体" w:hAnsi="Times New Roman" w:eastAsia="方正小标宋简体" w:cs="Times New Roman"/>
          <w:bCs/>
          <w:sz w:val="44"/>
          <w:szCs w:val="44"/>
          <w:highlight w:val="none"/>
        </w:rPr>
      </w:pPr>
      <w:r>
        <w:rPr>
          <w:rFonts w:hint="eastAsia" w:ascii="方正小标宋简体" w:hAnsi="Times New Roman" w:eastAsia="方正小标宋简体" w:cs="Times New Roman"/>
          <w:bCs/>
          <w:sz w:val="44"/>
          <w:szCs w:val="44"/>
          <w:highlight w:val="none"/>
          <w:lang w:val="en-US" w:eastAsia="zh-CN"/>
        </w:rPr>
        <w:t>南阳市</w:t>
      </w:r>
      <w:r>
        <w:rPr>
          <w:rFonts w:hint="eastAsia" w:ascii="方正小标宋简体" w:eastAsia="方正小标宋简体" w:cs="Times New Roman"/>
          <w:bCs/>
          <w:sz w:val="44"/>
          <w:szCs w:val="44"/>
          <w:highlight w:val="none"/>
          <w:lang w:eastAsia="zh-CN"/>
        </w:rPr>
        <w:t>“</w:t>
      </w:r>
      <w:r>
        <w:rPr>
          <w:rFonts w:hint="eastAsia" w:ascii="方正小标宋简体" w:hAnsi="Times New Roman" w:eastAsia="方正小标宋简体" w:cs="Times New Roman"/>
          <w:bCs/>
          <w:sz w:val="44"/>
          <w:szCs w:val="44"/>
          <w:highlight w:val="none"/>
        </w:rPr>
        <w:t>十五五</w:t>
      </w:r>
      <w:r>
        <w:rPr>
          <w:rFonts w:hint="eastAsia" w:ascii="方正小标宋简体" w:eastAsia="方正小标宋简体" w:cs="Times New Roman"/>
          <w:bCs/>
          <w:sz w:val="44"/>
          <w:szCs w:val="44"/>
          <w:highlight w:val="none"/>
          <w:lang w:eastAsia="zh-CN"/>
        </w:rPr>
        <w:t>”</w:t>
      </w:r>
      <w:r>
        <w:rPr>
          <w:rFonts w:hint="eastAsia" w:ascii="方正小标宋简体" w:hAnsi="Times New Roman" w:eastAsia="方正小标宋简体" w:cs="Times New Roman"/>
          <w:bCs/>
          <w:sz w:val="44"/>
          <w:szCs w:val="44"/>
          <w:highlight w:val="none"/>
        </w:rPr>
        <w:t>住房发展规划</w:t>
      </w:r>
    </w:p>
    <w:p w14:paraId="74BC0E1A">
      <w:pPr>
        <w:keepLines w:val="0"/>
        <w:spacing w:line="360" w:lineRule="auto"/>
        <w:ind w:firstLine="0" w:firstLineChars="0"/>
        <w:jc w:val="center"/>
        <w:rPr>
          <w:rFonts w:hint="default" w:ascii="Times New Roman" w:hAnsi="Times New Roman" w:cs="Times New Roman"/>
          <w:szCs w:val="24"/>
          <w:highlight w:val="none"/>
          <w:lang w:val="en-US" w:eastAsia="zh-CN"/>
        </w:rPr>
      </w:pPr>
      <w:r>
        <w:rPr>
          <w:rFonts w:hint="eastAsia" w:cs="Times New Roman"/>
          <w:szCs w:val="24"/>
          <w:highlight w:val="none"/>
          <w:lang w:val="en-US" w:eastAsia="zh-CN"/>
        </w:rPr>
        <w:t>（征求意见稿）</w:t>
      </w:r>
    </w:p>
    <w:p w14:paraId="6D75E5FE">
      <w:pPr>
        <w:keepLines w:val="0"/>
        <w:spacing w:line="360" w:lineRule="auto"/>
        <w:ind w:firstLine="640"/>
        <w:rPr>
          <w:rFonts w:ascii="Times New Roman" w:hAnsi="Times New Roman" w:cs="Times New Roman"/>
          <w:szCs w:val="24"/>
          <w:highlight w:val="none"/>
        </w:rPr>
      </w:pPr>
    </w:p>
    <w:p w14:paraId="5F052680">
      <w:pPr>
        <w:keepLines w:val="0"/>
        <w:spacing w:line="360" w:lineRule="auto"/>
        <w:ind w:firstLine="640"/>
        <w:rPr>
          <w:rFonts w:ascii="Times New Roman" w:hAnsi="Times New Roman" w:cs="Times New Roman"/>
          <w:szCs w:val="24"/>
          <w:highlight w:val="none"/>
        </w:rPr>
      </w:pPr>
    </w:p>
    <w:p w14:paraId="63A2E59F">
      <w:pPr>
        <w:keepLines w:val="0"/>
        <w:spacing w:line="360" w:lineRule="auto"/>
        <w:ind w:firstLine="640"/>
        <w:rPr>
          <w:rFonts w:ascii="Times New Roman" w:hAnsi="Times New Roman" w:cs="Times New Roman"/>
          <w:szCs w:val="24"/>
          <w:highlight w:val="none"/>
        </w:rPr>
      </w:pPr>
    </w:p>
    <w:p w14:paraId="51E51742">
      <w:pPr>
        <w:widowControl w:val="0"/>
        <w:spacing w:after="120" w:line="360" w:lineRule="auto"/>
        <w:ind w:firstLine="640" w:firstLineChars="200"/>
        <w:jc w:val="both"/>
        <w:rPr>
          <w:rFonts w:ascii="Times New Roman" w:hAnsi="Times New Roman" w:eastAsia="仿宋_GB2312" w:cs="Times New Roman"/>
          <w:kern w:val="2"/>
          <w:sz w:val="32"/>
          <w:szCs w:val="32"/>
          <w:highlight w:val="none"/>
          <w:lang w:val="en-US" w:eastAsia="zh-CN" w:bidi="ar-SA"/>
        </w:rPr>
      </w:pPr>
    </w:p>
    <w:p w14:paraId="5E544CBD">
      <w:pPr>
        <w:keepLines w:val="0"/>
        <w:spacing w:line="360" w:lineRule="auto"/>
        <w:ind w:firstLine="640"/>
        <w:rPr>
          <w:rFonts w:ascii="Times New Roman" w:hAnsi="Times New Roman" w:cs="Times New Roman"/>
          <w:szCs w:val="24"/>
          <w:highlight w:val="none"/>
        </w:rPr>
      </w:pPr>
    </w:p>
    <w:p w14:paraId="68F88735">
      <w:pPr>
        <w:keepLines w:val="0"/>
        <w:spacing w:line="360" w:lineRule="auto"/>
        <w:ind w:firstLine="640"/>
        <w:rPr>
          <w:rFonts w:ascii="Times New Roman" w:hAnsi="Times New Roman" w:cs="Times New Roman"/>
          <w:szCs w:val="24"/>
          <w:highlight w:val="none"/>
        </w:rPr>
      </w:pPr>
    </w:p>
    <w:p w14:paraId="6310CBDE">
      <w:pPr>
        <w:keepLines w:val="0"/>
        <w:spacing w:line="360" w:lineRule="auto"/>
        <w:ind w:firstLine="640"/>
        <w:rPr>
          <w:rFonts w:ascii="Times New Roman" w:hAnsi="Times New Roman" w:cs="Times New Roman"/>
          <w:szCs w:val="24"/>
          <w:highlight w:val="none"/>
        </w:rPr>
      </w:pPr>
    </w:p>
    <w:p w14:paraId="166A025B">
      <w:pPr>
        <w:keepLines w:val="0"/>
        <w:spacing w:line="360" w:lineRule="auto"/>
        <w:ind w:firstLine="640"/>
        <w:rPr>
          <w:rFonts w:ascii="Times New Roman" w:hAnsi="Times New Roman" w:cs="Times New Roman"/>
          <w:szCs w:val="24"/>
          <w:highlight w:val="none"/>
        </w:rPr>
      </w:pPr>
    </w:p>
    <w:p w14:paraId="7BE91673">
      <w:pPr>
        <w:keepLines w:val="0"/>
        <w:spacing w:line="360" w:lineRule="auto"/>
        <w:ind w:firstLine="640"/>
        <w:rPr>
          <w:rFonts w:ascii="Times New Roman" w:hAnsi="Times New Roman" w:cs="Times New Roman"/>
          <w:szCs w:val="24"/>
          <w:highlight w:val="none"/>
        </w:rPr>
      </w:pPr>
    </w:p>
    <w:p w14:paraId="41353D7C">
      <w:pPr>
        <w:keepLines w:val="0"/>
        <w:spacing w:line="360" w:lineRule="auto"/>
        <w:ind w:firstLine="640"/>
        <w:rPr>
          <w:rFonts w:ascii="Times New Roman" w:hAnsi="Times New Roman" w:cs="Times New Roman"/>
          <w:szCs w:val="24"/>
          <w:highlight w:val="none"/>
        </w:rPr>
      </w:pPr>
    </w:p>
    <w:p w14:paraId="192A17D6">
      <w:pPr>
        <w:pStyle w:val="2"/>
        <w:rPr>
          <w:rFonts w:ascii="Times New Roman" w:hAnsi="Times New Roman" w:cs="Times New Roman"/>
          <w:szCs w:val="24"/>
          <w:highlight w:val="none"/>
        </w:rPr>
      </w:pPr>
    </w:p>
    <w:p w14:paraId="789B70AB"/>
    <w:p w14:paraId="1D226DC8">
      <w:pPr>
        <w:keepLines w:val="0"/>
        <w:spacing w:line="360" w:lineRule="auto"/>
        <w:ind w:firstLine="0" w:firstLineChars="0"/>
        <w:rPr>
          <w:rFonts w:ascii="Times New Roman" w:hAnsi="Times New Roman" w:cs="Times New Roman"/>
          <w:szCs w:val="24"/>
          <w:highlight w:val="none"/>
        </w:rPr>
      </w:pPr>
    </w:p>
    <w:p w14:paraId="380F3F3A">
      <w:pPr>
        <w:keepLines w:val="0"/>
        <w:spacing w:line="360" w:lineRule="auto"/>
        <w:ind w:firstLine="0" w:firstLineChars="0"/>
        <w:jc w:val="center"/>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南阳市</w:t>
      </w:r>
      <w:r>
        <w:rPr>
          <w:rFonts w:hint="eastAsia" w:ascii="Times New Roman" w:hAnsi="Times New Roman" w:cs="Times New Roman"/>
          <w:szCs w:val="24"/>
          <w:highlight w:val="none"/>
        </w:rPr>
        <w:t>住房和城乡建设</w:t>
      </w:r>
      <w:r>
        <w:rPr>
          <w:rFonts w:hint="eastAsia" w:ascii="Times New Roman" w:hAnsi="Times New Roman" w:cs="Times New Roman"/>
          <w:szCs w:val="24"/>
          <w:highlight w:val="none"/>
          <w:lang w:val="en-US" w:eastAsia="zh-CN"/>
        </w:rPr>
        <w:t>局</w:t>
      </w:r>
    </w:p>
    <w:p w14:paraId="16B61787">
      <w:pPr>
        <w:keepLines w:val="0"/>
        <w:ind w:firstLine="0" w:firstLineChars="0"/>
        <w:jc w:val="center"/>
        <w:rPr>
          <w:rFonts w:ascii="Times New Roman" w:hAnsi="Times New Roman" w:cs="Times New Roman"/>
          <w:szCs w:val="32"/>
          <w:highlight w:val="none"/>
        </w:rPr>
      </w:pPr>
      <w:r>
        <w:rPr>
          <w:rFonts w:hint="eastAsia" w:ascii="Times New Roman" w:hAnsi="Times New Roman" w:cs="Times New Roman"/>
          <w:szCs w:val="24"/>
          <w:highlight w:val="none"/>
        </w:rPr>
        <w:t>202</w:t>
      </w:r>
      <w:r>
        <w:rPr>
          <w:rFonts w:hint="eastAsia" w:cs="Times New Roman"/>
          <w:szCs w:val="24"/>
          <w:highlight w:val="none"/>
          <w:lang w:val="en-US" w:eastAsia="zh-CN"/>
        </w:rPr>
        <w:t>6</w:t>
      </w:r>
      <w:r>
        <w:rPr>
          <w:rFonts w:hint="eastAsia" w:ascii="Times New Roman" w:hAnsi="Times New Roman" w:cs="Times New Roman"/>
          <w:szCs w:val="24"/>
          <w:highlight w:val="none"/>
        </w:rPr>
        <w:t>年</w:t>
      </w:r>
      <w:r>
        <w:rPr>
          <w:rFonts w:hint="eastAsia" w:cs="Times New Roman"/>
          <w:szCs w:val="24"/>
          <w:highlight w:val="none"/>
          <w:lang w:val="en-US" w:eastAsia="zh-CN"/>
        </w:rPr>
        <w:t>5</w:t>
      </w:r>
      <w:r>
        <w:rPr>
          <w:rFonts w:hint="eastAsia" w:ascii="Times New Roman" w:hAnsi="Times New Roman" w:cs="Times New Roman"/>
          <w:szCs w:val="24"/>
          <w:highlight w:val="none"/>
        </w:rPr>
        <w:t>月</w:t>
      </w:r>
    </w:p>
    <w:p w14:paraId="792DB538">
      <w:pPr>
        <w:ind w:firstLine="0" w:firstLineChars="0"/>
        <w:jc w:val="center"/>
        <w:rPr>
          <w:rFonts w:hint="eastAsia" w:ascii="黑体" w:hAnsi="黑体" w:eastAsia="黑体"/>
          <w:sz w:val="36"/>
          <w:szCs w:val="36"/>
          <w:highlight w:val="none"/>
        </w:rPr>
      </w:pPr>
    </w:p>
    <w:p w14:paraId="13026111">
      <w:pPr>
        <w:ind w:firstLine="0" w:firstLineChars="0"/>
        <w:jc w:val="both"/>
        <w:rPr>
          <w:rFonts w:hint="eastAsia" w:ascii="黑体" w:hAnsi="黑体" w:eastAsia="黑体"/>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12" w:charSpace="0"/>
        </w:sectPr>
      </w:pPr>
    </w:p>
    <w:p w14:paraId="5BDF44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sz w:val="36"/>
          <w:highlight w:val="none"/>
          <w:lang w:val="en-US" w:eastAsia="zh-CN"/>
        </w:rPr>
      </w:pPr>
      <w:bookmarkStart w:id="0" w:name="_Toc9558"/>
      <w:bookmarkStart w:id="1" w:name="_Toc22292"/>
      <w:r>
        <w:rPr>
          <w:rFonts w:hint="eastAsia" w:eastAsia="黑体"/>
          <w:sz w:val="36"/>
          <w:highlight w:val="none"/>
          <w:lang w:val="en-US" w:eastAsia="zh-CN"/>
        </w:rPr>
        <w:t>目  录</w:t>
      </w:r>
    </w:p>
    <w:p w14:paraId="52ECCD8A">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TOC \o "1-2" \h \u </w:instrText>
      </w:r>
      <w:r>
        <w:rPr>
          <w:rFonts w:hint="default"/>
          <w:highlight w:val="none"/>
          <w:lang w:val="en-US" w:eastAsia="zh-CN"/>
        </w:rPr>
        <w:fldChar w:fldCharType="separate"/>
      </w:r>
      <w:r>
        <w:rPr>
          <w:rFonts w:hint="default"/>
          <w:highlight w:val="none"/>
          <w:lang w:val="en-US" w:eastAsia="zh-CN"/>
        </w:rPr>
        <w:fldChar w:fldCharType="begin"/>
      </w:r>
      <w:r>
        <w:rPr>
          <w:rFonts w:hint="default"/>
          <w:highlight w:val="none"/>
          <w:lang w:val="en-US" w:eastAsia="zh-CN"/>
        </w:rPr>
        <w:instrText xml:space="preserve"> HYPERLINK \l _Toc2444 </w:instrText>
      </w:r>
      <w:r>
        <w:rPr>
          <w:rFonts w:hint="default"/>
          <w:highlight w:val="none"/>
          <w:lang w:val="en-US" w:eastAsia="zh-CN"/>
        </w:rPr>
        <w:fldChar w:fldCharType="separate"/>
      </w:r>
      <w:r>
        <w:rPr>
          <w:rFonts w:hint="eastAsia"/>
          <w:highlight w:val="none"/>
          <w:lang w:val="en-US" w:eastAsia="zh-CN"/>
        </w:rPr>
        <w:t>一、发展基础</w:t>
      </w:r>
      <w:r>
        <w:tab/>
      </w:r>
      <w:r>
        <w:fldChar w:fldCharType="begin"/>
      </w:r>
      <w:r>
        <w:instrText xml:space="preserve"> PAGEREF _Toc2444 \h </w:instrText>
      </w:r>
      <w:r>
        <w:fldChar w:fldCharType="separate"/>
      </w:r>
      <w:r>
        <w:t>1</w:t>
      </w:r>
      <w:r>
        <w:fldChar w:fldCharType="end"/>
      </w:r>
      <w:r>
        <w:rPr>
          <w:rFonts w:hint="default"/>
          <w:highlight w:val="none"/>
          <w:lang w:val="en-US" w:eastAsia="zh-CN"/>
        </w:rPr>
        <w:fldChar w:fldCharType="end"/>
      </w:r>
    </w:p>
    <w:p w14:paraId="52322651">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_Toc9047 </w:instrText>
      </w:r>
      <w:r>
        <w:rPr>
          <w:rFonts w:hint="default"/>
          <w:highlight w:val="none"/>
          <w:lang w:val="en-US" w:eastAsia="zh-CN"/>
        </w:rPr>
        <w:fldChar w:fldCharType="separate"/>
      </w:r>
      <w:r>
        <w:rPr>
          <w:rFonts w:hint="eastAsia"/>
          <w:highlight w:val="none"/>
          <w:lang w:val="en-US" w:eastAsia="zh-CN"/>
        </w:rPr>
        <w:t>（一）发展成效</w:t>
      </w:r>
      <w:r>
        <w:tab/>
      </w:r>
      <w:r>
        <w:fldChar w:fldCharType="begin"/>
      </w:r>
      <w:r>
        <w:instrText xml:space="preserve"> PAGEREF _Toc9047 \h </w:instrText>
      </w:r>
      <w:r>
        <w:fldChar w:fldCharType="separate"/>
      </w:r>
      <w:r>
        <w:t>1</w:t>
      </w:r>
      <w:r>
        <w:fldChar w:fldCharType="end"/>
      </w:r>
      <w:r>
        <w:rPr>
          <w:rFonts w:hint="default"/>
          <w:highlight w:val="none"/>
          <w:lang w:val="en-US" w:eastAsia="zh-CN"/>
        </w:rPr>
        <w:fldChar w:fldCharType="end"/>
      </w:r>
    </w:p>
    <w:p w14:paraId="5B1B5AA1">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_Toc29789 </w:instrText>
      </w:r>
      <w:r>
        <w:rPr>
          <w:rFonts w:hint="default"/>
          <w:highlight w:val="none"/>
          <w:lang w:val="en-US" w:eastAsia="zh-CN"/>
        </w:rPr>
        <w:fldChar w:fldCharType="separate"/>
      </w:r>
      <w:r>
        <w:rPr>
          <w:rFonts w:hint="eastAsia"/>
          <w:highlight w:val="none"/>
          <w:lang w:val="en-US" w:eastAsia="zh-CN"/>
        </w:rPr>
        <w:t>（二）存在问题</w:t>
      </w:r>
      <w:r>
        <w:tab/>
      </w:r>
      <w:r>
        <w:fldChar w:fldCharType="begin"/>
      </w:r>
      <w:r>
        <w:instrText xml:space="preserve"> PAGEREF _Toc29789 \h </w:instrText>
      </w:r>
      <w:r>
        <w:fldChar w:fldCharType="separate"/>
      </w:r>
      <w:r>
        <w:t>4</w:t>
      </w:r>
      <w:r>
        <w:fldChar w:fldCharType="end"/>
      </w:r>
      <w:r>
        <w:rPr>
          <w:rFonts w:hint="default"/>
          <w:highlight w:val="none"/>
          <w:lang w:val="en-US" w:eastAsia="zh-CN"/>
        </w:rPr>
        <w:fldChar w:fldCharType="end"/>
      </w:r>
    </w:p>
    <w:p w14:paraId="503314EF">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_Toc21257 </w:instrText>
      </w:r>
      <w:r>
        <w:rPr>
          <w:rFonts w:hint="default"/>
          <w:highlight w:val="none"/>
          <w:lang w:val="en-US" w:eastAsia="zh-CN"/>
        </w:rPr>
        <w:fldChar w:fldCharType="separate"/>
      </w:r>
      <w:r>
        <w:rPr>
          <w:rFonts w:hint="eastAsia"/>
          <w:highlight w:val="none"/>
          <w:lang w:val="en-US" w:eastAsia="zh-CN"/>
        </w:rPr>
        <w:t>（三）发展形势</w:t>
      </w:r>
      <w:r>
        <w:tab/>
      </w:r>
      <w:r>
        <w:fldChar w:fldCharType="begin"/>
      </w:r>
      <w:r>
        <w:instrText xml:space="preserve"> PAGEREF _Toc21257 \h </w:instrText>
      </w:r>
      <w:r>
        <w:fldChar w:fldCharType="separate"/>
      </w:r>
      <w:r>
        <w:t>5</w:t>
      </w:r>
      <w:r>
        <w:fldChar w:fldCharType="end"/>
      </w:r>
      <w:r>
        <w:rPr>
          <w:rFonts w:hint="default"/>
          <w:highlight w:val="none"/>
          <w:lang w:val="en-US" w:eastAsia="zh-CN"/>
        </w:rPr>
        <w:fldChar w:fldCharType="end"/>
      </w:r>
    </w:p>
    <w:p w14:paraId="6CE26D6D">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_Toc31486 </w:instrText>
      </w:r>
      <w:r>
        <w:rPr>
          <w:rFonts w:hint="default"/>
          <w:highlight w:val="none"/>
          <w:lang w:val="en-US" w:eastAsia="zh-CN"/>
        </w:rPr>
        <w:fldChar w:fldCharType="separate"/>
      </w:r>
      <w:r>
        <w:rPr>
          <w:rFonts w:hint="eastAsia"/>
          <w:lang w:val="en-US" w:eastAsia="zh-CN"/>
        </w:rPr>
        <w:t>二、总体要求</w:t>
      </w:r>
      <w:r>
        <w:tab/>
      </w:r>
      <w:r>
        <w:fldChar w:fldCharType="begin"/>
      </w:r>
      <w:r>
        <w:instrText xml:space="preserve"> PAGEREF _Toc31486 \h </w:instrText>
      </w:r>
      <w:r>
        <w:fldChar w:fldCharType="separate"/>
      </w:r>
      <w:r>
        <w:t>6</w:t>
      </w:r>
      <w:r>
        <w:fldChar w:fldCharType="end"/>
      </w:r>
      <w:r>
        <w:rPr>
          <w:rFonts w:hint="default"/>
          <w:highlight w:val="none"/>
          <w:lang w:val="en-US" w:eastAsia="zh-CN"/>
        </w:rPr>
        <w:fldChar w:fldCharType="end"/>
      </w:r>
    </w:p>
    <w:p w14:paraId="081DD528">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_Toc19361 </w:instrText>
      </w:r>
      <w:r>
        <w:rPr>
          <w:rFonts w:hint="default"/>
          <w:highlight w:val="none"/>
          <w:lang w:val="en-US" w:eastAsia="zh-CN"/>
        </w:rPr>
        <w:fldChar w:fldCharType="separate"/>
      </w:r>
      <w:r>
        <w:rPr>
          <w:rFonts w:hint="eastAsia"/>
          <w:highlight w:val="none"/>
          <w:lang w:val="en-US" w:eastAsia="zh-CN"/>
        </w:rPr>
        <w:t>（一）指导思想</w:t>
      </w:r>
      <w:r>
        <w:tab/>
      </w:r>
      <w:r>
        <w:fldChar w:fldCharType="begin"/>
      </w:r>
      <w:r>
        <w:instrText xml:space="preserve"> PAGEREF _Toc19361 \h </w:instrText>
      </w:r>
      <w:r>
        <w:fldChar w:fldCharType="separate"/>
      </w:r>
      <w:r>
        <w:t>6</w:t>
      </w:r>
      <w:r>
        <w:fldChar w:fldCharType="end"/>
      </w:r>
      <w:r>
        <w:rPr>
          <w:rFonts w:hint="default"/>
          <w:highlight w:val="none"/>
          <w:lang w:val="en-US" w:eastAsia="zh-CN"/>
        </w:rPr>
        <w:fldChar w:fldCharType="end"/>
      </w:r>
    </w:p>
    <w:p w14:paraId="5525A93C">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_Toc740 </w:instrText>
      </w:r>
      <w:r>
        <w:rPr>
          <w:rFonts w:hint="default"/>
          <w:highlight w:val="none"/>
          <w:lang w:val="en-US" w:eastAsia="zh-CN"/>
        </w:rPr>
        <w:fldChar w:fldCharType="separate"/>
      </w:r>
      <w:r>
        <w:rPr>
          <w:rFonts w:hint="eastAsia"/>
          <w:highlight w:val="none"/>
          <w:lang w:val="en-US" w:eastAsia="zh-CN"/>
        </w:rPr>
        <w:t>（二）基本原则</w:t>
      </w:r>
      <w:r>
        <w:tab/>
      </w:r>
      <w:r>
        <w:fldChar w:fldCharType="begin"/>
      </w:r>
      <w:r>
        <w:instrText xml:space="preserve"> PAGEREF _Toc740 \h </w:instrText>
      </w:r>
      <w:r>
        <w:fldChar w:fldCharType="separate"/>
      </w:r>
      <w:r>
        <w:t>7</w:t>
      </w:r>
      <w:r>
        <w:fldChar w:fldCharType="end"/>
      </w:r>
      <w:r>
        <w:rPr>
          <w:rFonts w:hint="default"/>
          <w:highlight w:val="none"/>
          <w:lang w:val="en-US" w:eastAsia="zh-CN"/>
        </w:rPr>
        <w:fldChar w:fldCharType="end"/>
      </w:r>
    </w:p>
    <w:p w14:paraId="42E4F00B">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_Toc6533 </w:instrText>
      </w:r>
      <w:r>
        <w:rPr>
          <w:rFonts w:hint="default"/>
          <w:highlight w:val="none"/>
          <w:lang w:val="en-US" w:eastAsia="zh-CN"/>
        </w:rPr>
        <w:fldChar w:fldCharType="separate"/>
      </w:r>
      <w:r>
        <w:rPr>
          <w:rFonts w:hint="eastAsia"/>
          <w:highlight w:val="none"/>
          <w:lang w:val="en-US" w:eastAsia="zh-CN"/>
        </w:rPr>
        <w:t>（三）发展目标</w:t>
      </w:r>
      <w:r>
        <w:tab/>
      </w:r>
      <w:r>
        <w:fldChar w:fldCharType="begin"/>
      </w:r>
      <w:r>
        <w:instrText xml:space="preserve"> PAGEREF _Toc6533 \h </w:instrText>
      </w:r>
      <w:r>
        <w:fldChar w:fldCharType="separate"/>
      </w:r>
      <w:r>
        <w:t>8</w:t>
      </w:r>
      <w:r>
        <w:fldChar w:fldCharType="end"/>
      </w:r>
      <w:r>
        <w:rPr>
          <w:rFonts w:hint="default"/>
          <w:highlight w:val="none"/>
          <w:lang w:val="en-US" w:eastAsia="zh-CN"/>
        </w:rPr>
        <w:fldChar w:fldCharType="end"/>
      </w:r>
    </w:p>
    <w:p w14:paraId="73A4A7AC">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_Toc14489 </w:instrText>
      </w:r>
      <w:r>
        <w:rPr>
          <w:rFonts w:hint="default"/>
          <w:highlight w:val="none"/>
          <w:lang w:val="en-US" w:eastAsia="zh-CN"/>
        </w:rPr>
        <w:fldChar w:fldCharType="separate"/>
      </w:r>
      <w:r>
        <w:rPr>
          <w:rFonts w:hint="eastAsia"/>
          <w:highlight w:val="none"/>
          <w:lang w:val="en-US" w:eastAsia="zh-CN"/>
        </w:rPr>
        <w:t>三、主要任务</w:t>
      </w:r>
      <w:r>
        <w:tab/>
      </w:r>
      <w:r>
        <w:fldChar w:fldCharType="begin"/>
      </w:r>
      <w:r>
        <w:instrText xml:space="preserve"> PAGEREF _Toc14489 \h </w:instrText>
      </w:r>
      <w:r>
        <w:fldChar w:fldCharType="separate"/>
      </w:r>
      <w:r>
        <w:t>10</w:t>
      </w:r>
      <w:r>
        <w:fldChar w:fldCharType="end"/>
      </w:r>
      <w:r>
        <w:rPr>
          <w:rFonts w:hint="default"/>
          <w:highlight w:val="none"/>
          <w:lang w:val="en-US" w:eastAsia="zh-CN"/>
        </w:rPr>
        <w:fldChar w:fldCharType="end"/>
      </w:r>
    </w:p>
    <w:p w14:paraId="59DEA8DF">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_Toc10725 </w:instrText>
      </w:r>
      <w:r>
        <w:rPr>
          <w:rFonts w:hint="default"/>
          <w:highlight w:val="none"/>
          <w:lang w:val="en-US" w:eastAsia="zh-CN"/>
        </w:rPr>
        <w:fldChar w:fldCharType="separate"/>
      </w:r>
      <w:r>
        <w:rPr>
          <w:rFonts w:hint="eastAsia"/>
          <w:highlight w:val="none"/>
          <w:lang w:val="en-US" w:eastAsia="zh-CN"/>
        </w:rPr>
        <w:t>（一）促进房地产市场平稳健康发展</w:t>
      </w:r>
      <w:r>
        <w:tab/>
      </w:r>
      <w:r>
        <w:fldChar w:fldCharType="begin"/>
      </w:r>
      <w:r>
        <w:instrText xml:space="preserve"> PAGEREF _Toc10725 \h </w:instrText>
      </w:r>
      <w:r>
        <w:fldChar w:fldCharType="separate"/>
      </w:r>
      <w:r>
        <w:t>10</w:t>
      </w:r>
      <w:r>
        <w:fldChar w:fldCharType="end"/>
      </w:r>
      <w:r>
        <w:rPr>
          <w:rFonts w:hint="default"/>
          <w:highlight w:val="none"/>
          <w:lang w:val="en-US" w:eastAsia="zh-CN"/>
        </w:rPr>
        <w:fldChar w:fldCharType="end"/>
      </w:r>
    </w:p>
    <w:p w14:paraId="513AB48E">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_Toc17426 </w:instrText>
      </w:r>
      <w:r>
        <w:rPr>
          <w:rFonts w:hint="default"/>
          <w:highlight w:val="none"/>
          <w:lang w:val="en-US" w:eastAsia="zh-CN"/>
        </w:rPr>
        <w:fldChar w:fldCharType="separate"/>
      </w:r>
      <w:r>
        <w:rPr>
          <w:rFonts w:hint="eastAsia"/>
          <w:lang w:val="en-US" w:eastAsia="zh-CN"/>
        </w:rPr>
        <w:t>（二）提升保障性住房供给能力</w:t>
      </w:r>
      <w:r>
        <w:tab/>
      </w:r>
      <w:r>
        <w:fldChar w:fldCharType="begin"/>
      </w:r>
      <w:r>
        <w:instrText xml:space="preserve"> PAGEREF _Toc17426 \h </w:instrText>
      </w:r>
      <w:r>
        <w:fldChar w:fldCharType="separate"/>
      </w:r>
      <w:r>
        <w:t>14</w:t>
      </w:r>
      <w:r>
        <w:fldChar w:fldCharType="end"/>
      </w:r>
      <w:r>
        <w:rPr>
          <w:rFonts w:hint="default"/>
          <w:highlight w:val="none"/>
          <w:lang w:val="en-US" w:eastAsia="zh-CN"/>
        </w:rPr>
        <w:fldChar w:fldCharType="end"/>
      </w:r>
    </w:p>
    <w:p w14:paraId="1C02B4F3">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_Toc24141 </w:instrText>
      </w:r>
      <w:r>
        <w:rPr>
          <w:rFonts w:hint="default"/>
          <w:highlight w:val="none"/>
          <w:lang w:val="en-US" w:eastAsia="zh-CN"/>
        </w:rPr>
        <w:fldChar w:fldCharType="separate"/>
      </w:r>
      <w:r>
        <w:rPr>
          <w:rFonts w:hint="eastAsia"/>
          <w:highlight w:val="none"/>
          <w:lang w:val="en-US" w:eastAsia="zh-CN"/>
        </w:rPr>
        <w:t>（三）推动房地产行业转型升级</w:t>
      </w:r>
      <w:r>
        <w:tab/>
      </w:r>
      <w:r>
        <w:fldChar w:fldCharType="begin"/>
      </w:r>
      <w:r>
        <w:instrText xml:space="preserve"> PAGEREF _Toc24141 \h </w:instrText>
      </w:r>
      <w:r>
        <w:fldChar w:fldCharType="separate"/>
      </w:r>
      <w:r>
        <w:t>17</w:t>
      </w:r>
      <w:r>
        <w:fldChar w:fldCharType="end"/>
      </w:r>
      <w:r>
        <w:rPr>
          <w:rFonts w:hint="default"/>
          <w:highlight w:val="none"/>
          <w:lang w:val="en-US" w:eastAsia="zh-CN"/>
        </w:rPr>
        <w:fldChar w:fldCharType="end"/>
      </w:r>
    </w:p>
    <w:p w14:paraId="03CC67D4">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_Toc9586 </w:instrText>
      </w:r>
      <w:r>
        <w:rPr>
          <w:rFonts w:hint="default"/>
          <w:highlight w:val="none"/>
          <w:lang w:val="en-US" w:eastAsia="zh-CN"/>
        </w:rPr>
        <w:fldChar w:fldCharType="separate"/>
      </w:r>
      <w:r>
        <w:rPr>
          <w:rFonts w:hint="eastAsia"/>
          <w:highlight w:val="none"/>
          <w:lang w:val="en-US" w:eastAsia="zh-CN"/>
        </w:rPr>
        <w:t>（四）稳步提升住区居住品质服务水平</w:t>
      </w:r>
      <w:r>
        <w:tab/>
      </w:r>
      <w:r>
        <w:fldChar w:fldCharType="begin"/>
      </w:r>
      <w:r>
        <w:instrText xml:space="preserve"> PAGEREF _Toc9586 \h </w:instrText>
      </w:r>
      <w:r>
        <w:fldChar w:fldCharType="separate"/>
      </w:r>
      <w:r>
        <w:t>19</w:t>
      </w:r>
      <w:r>
        <w:fldChar w:fldCharType="end"/>
      </w:r>
      <w:r>
        <w:rPr>
          <w:rFonts w:hint="default"/>
          <w:highlight w:val="none"/>
          <w:lang w:val="en-US" w:eastAsia="zh-CN"/>
        </w:rPr>
        <w:fldChar w:fldCharType="end"/>
      </w:r>
    </w:p>
    <w:p w14:paraId="79F3D22E">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_Toc139 </w:instrText>
      </w:r>
      <w:r>
        <w:rPr>
          <w:rFonts w:hint="default"/>
          <w:highlight w:val="none"/>
          <w:lang w:val="en-US" w:eastAsia="zh-CN"/>
        </w:rPr>
        <w:fldChar w:fldCharType="separate"/>
      </w:r>
      <w:r>
        <w:rPr>
          <w:rFonts w:hint="eastAsia"/>
          <w:highlight w:val="none"/>
          <w:lang w:val="en-US" w:eastAsia="zh-CN"/>
        </w:rPr>
        <w:t>（五）有力推进老旧住区更新改造</w:t>
      </w:r>
      <w:r>
        <w:tab/>
      </w:r>
      <w:r>
        <w:fldChar w:fldCharType="begin"/>
      </w:r>
      <w:r>
        <w:instrText xml:space="preserve"> PAGEREF _Toc139 \h </w:instrText>
      </w:r>
      <w:r>
        <w:fldChar w:fldCharType="separate"/>
      </w:r>
      <w:r>
        <w:t>23</w:t>
      </w:r>
      <w:r>
        <w:fldChar w:fldCharType="end"/>
      </w:r>
      <w:r>
        <w:rPr>
          <w:rFonts w:hint="default"/>
          <w:highlight w:val="none"/>
          <w:lang w:val="en-US" w:eastAsia="zh-CN"/>
        </w:rPr>
        <w:fldChar w:fldCharType="end"/>
      </w:r>
    </w:p>
    <w:p w14:paraId="64D44910">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_Toc3012 </w:instrText>
      </w:r>
      <w:r>
        <w:rPr>
          <w:rFonts w:hint="default"/>
          <w:highlight w:val="none"/>
          <w:lang w:val="en-US" w:eastAsia="zh-CN"/>
        </w:rPr>
        <w:fldChar w:fldCharType="separate"/>
      </w:r>
      <w:r>
        <w:rPr>
          <w:rFonts w:hint="eastAsia"/>
          <w:highlight w:val="none"/>
          <w:lang w:val="en-US" w:eastAsia="zh-CN"/>
        </w:rPr>
        <w:t>四、空间布局</w:t>
      </w:r>
      <w:r>
        <w:tab/>
      </w:r>
      <w:r>
        <w:fldChar w:fldCharType="begin"/>
      </w:r>
      <w:r>
        <w:instrText xml:space="preserve"> PAGEREF _Toc3012 \h </w:instrText>
      </w:r>
      <w:r>
        <w:fldChar w:fldCharType="separate"/>
      </w:r>
      <w:r>
        <w:t>25</w:t>
      </w:r>
      <w:r>
        <w:fldChar w:fldCharType="end"/>
      </w:r>
      <w:r>
        <w:rPr>
          <w:rFonts w:hint="default"/>
          <w:highlight w:val="none"/>
          <w:lang w:val="en-US" w:eastAsia="zh-CN"/>
        </w:rPr>
        <w:fldChar w:fldCharType="end"/>
      </w:r>
    </w:p>
    <w:p w14:paraId="05B078BF">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_Toc31421 </w:instrText>
      </w:r>
      <w:r>
        <w:rPr>
          <w:rFonts w:hint="default"/>
          <w:highlight w:val="none"/>
          <w:lang w:val="en-US" w:eastAsia="zh-CN"/>
        </w:rPr>
        <w:fldChar w:fldCharType="separate"/>
      </w:r>
      <w:r>
        <w:rPr>
          <w:rFonts w:hint="eastAsia"/>
          <w:highlight w:val="none"/>
          <w:lang w:val="en-US" w:eastAsia="zh-CN"/>
        </w:rPr>
        <w:t>（一）市域住房空间布局总体策略</w:t>
      </w:r>
      <w:r>
        <w:tab/>
      </w:r>
      <w:r>
        <w:fldChar w:fldCharType="begin"/>
      </w:r>
      <w:r>
        <w:instrText xml:space="preserve"> PAGEREF _Toc31421 \h </w:instrText>
      </w:r>
      <w:r>
        <w:fldChar w:fldCharType="separate"/>
      </w:r>
      <w:r>
        <w:t>25</w:t>
      </w:r>
      <w:r>
        <w:fldChar w:fldCharType="end"/>
      </w:r>
      <w:r>
        <w:rPr>
          <w:rFonts w:hint="default"/>
          <w:highlight w:val="none"/>
          <w:lang w:val="en-US" w:eastAsia="zh-CN"/>
        </w:rPr>
        <w:fldChar w:fldCharType="end"/>
      </w:r>
    </w:p>
    <w:p w14:paraId="5612FF9A">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_Toc2389 </w:instrText>
      </w:r>
      <w:r>
        <w:rPr>
          <w:rFonts w:hint="default"/>
          <w:highlight w:val="none"/>
          <w:lang w:val="en-US" w:eastAsia="zh-CN"/>
        </w:rPr>
        <w:fldChar w:fldCharType="separate"/>
      </w:r>
      <w:r>
        <w:rPr>
          <w:rFonts w:hint="eastAsia"/>
          <w:highlight w:val="none"/>
          <w:lang w:val="en-US" w:eastAsia="zh-CN"/>
        </w:rPr>
        <w:t>（二）中心城区住房发展指引</w:t>
      </w:r>
      <w:r>
        <w:tab/>
      </w:r>
      <w:r>
        <w:fldChar w:fldCharType="begin"/>
      </w:r>
      <w:r>
        <w:instrText xml:space="preserve"> PAGEREF _Toc2389 \h </w:instrText>
      </w:r>
      <w:r>
        <w:fldChar w:fldCharType="separate"/>
      </w:r>
      <w:r>
        <w:t>26</w:t>
      </w:r>
      <w:r>
        <w:fldChar w:fldCharType="end"/>
      </w:r>
      <w:r>
        <w:rPr>
          <w:rFonts w:hint="default"/>
          <w:highlight w:val="none"/>
          <w:lang w:val="en-US" w:eastAsia="zh-CN"/>
        </w:rPr>
        <w:fldChar w:fldCharType="end"/>
      </w:r>
    </w:p>
    <w:p w14:paraId="3835C83A">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_Toc25271 </w:instrText>
      </w:r>
      <w:r>
        <w:rPr>
          <w:rFonts w:hint="default"/>
          <w:highlight w:val="none"/>
          <w:lang w:val="en-US" w:eastAsia="zh-CN"/>
        </w:rPr>
        <w:fldChar w:fldCharType="separate"/>
      </w:r>
      <w:r>
        <w:rPr>
          <w:rFonts w:hint="eastAsia"/>
          <w:highlight w:val="none"/>
          <w:lang w:val="en-US" w:eastAsia="zh-CN"/>
        </w:rPr>
        <w:t>（三）下辖县市住房发展指引</w:t>
      </w:r>
      <w:r>
        <w:tab/>
      </w:r>
      <w:r>
        <w:fldChar w:fldCharType="begin"/>
      </w:r>
      <w:r>
        <w:instrText xml:space="preserve"> PAGEREF _Toc25271 \h </w:instrText>
      </w:r>
      <w:r>
        <w:fldChar w:fldCharType="separate"/>
      </w:r>
      <w:r>
        <w:t>30</w:t>
      </w:r>
      <w:r>
        <w:fldChar w:fldCharType="end"/>
      </w:r>
      <w:r>
        <w:rPr>
          <w:rFonts w:hint="default"/>
          <w:highlight w:val="none"/>
          <w:lang w:val="en-US" w:eastAsia="zh-CN"/>
        </w:rPr>
        <w:fldChar w:fldCharType="end"/>
      </w:r>
    </w:p>
    <w:p w14:paraId="11DAE464">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_Toc16389 </w:instrText>
      </w:r>
      <w:r>
        <w:rPr>
          <w:rFonts w:hint="default"/>
          <w:highlight w:val="none"/>
          <w:lang w:val="en-US" w:eastAsia="zh-CN"/>
        </w:rPr>
        <w:fldChar w:fldCharType="separate"/>
      </w:r>
      <w:r>
        <w:rPr>
          <w:rFonts w:hint="eastAsia"/>
          <w:highlight w:val="none"/>
          <w:lang w:val="en-US" w:eastAsia="zh-CN"/>
        </w:rPr>
        <w:t>五、要素联动</w:t>
      </w:r>
      <w:r>
        <w:tab/>
      </w:r>
      <w:r>
        <w:fldChar w:fldCharType="begin"/>
      </w:r>
      <w:r>
        <w:instrText xml:space="preserve"> PAGEREF _Toc16389 \h </w:instrText>
      </w:r>
      <w:r>
        <w:fldChar w:fldCharType="separate"/>
      </w:r>
      <w:r>
        <w:t>35</w:t>
      </w:r>
      <w:r>
        <w:fldChar w:fldCharType="end"/>
      </w:r>
      <w:r>
        <w:rPr>
          <w:rFonts w:hint="default"/>
          <w:highlight w:val="none"/>
          <w:lang w:val="en-US" w:eastAsia="zh-CN"/>
        </w:rPr>
        <w:fldChar w:fldCharType="end"/>
      </w:r>
    </w:p>
    <w:p w14:paraId="65C5F0FB">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_Toc16624 </w:instrText>
      </w:r>
      <w:r>
        <w:rPr>
          <w:rFonts w:hint="default"/>
          <w:highlight w:val="none"/>
          <w:lang w:val="en-US" w:eastAsia="zh-CN"/>
        </w:rPr>
        <w:fldChar w:fldCharType="separate"/>
      </w:r>
      <w:r>
        <w:rPr>
          <w:rFonts w:hint="eastAsia"/>
          <w:highlight w:val="none"/>
          <w:lang w:val="en-US" w:eastAsia="zh-CN"/>
        </w:rPr>
        <w:t>（一）以人定房，构建供需平衡的住房供应体系</w:t>
      </w:r>
      <w:r>
        <w:tab/>
      </w:r>
      <w:r>
        <w:fldChar w:fldCharType="begin"/>
      </w:r>
      <w:r>
        <w:instrText xml:space="preserve"> PAGEREF _Toc16624 \h </w:instrText>
      </w:r>
      <w:r>
        <w:fldChar w:fldCharType="separate"/>
      </w:r>
      <w:r>
        <w:t>35</w:t>
      </w:r>
      <w:r>
        <w:fldChar w:fldCharType="end"/>
      </w:r>
      <w:r>
        <w:rPr>
          <w:rFonts w:hint="default"/>
          <w:highlight w:val="none"/>
          <w:lang w:val="en-US" w:eastAsia="zh-CN"/>
        </w:rPr>
        <w:fldChar w:fldCharType="end"/>
      </w:r>
    </w:p>
    <w:p w14:paraId="59F3E9B7">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_Toc13343 </w:instrText>
      </w:r>
      <w:r>
        <w:rPr>
          <w:rFonts w:hint="default"/>
          <w:highlight w:val="none"/>
          <w:lang w:val="en-US" w:eastAsia="zh-CN"/>
        </w:rPr>
        <w:fldChar w:fldCharType="separate"/>
      </w:r>
      <w:r>
        <w:rPr>
          <w:rFonts w:hint="eastAsia"/>
          <w:highlight w:val="none"/>
          <w:lang w:val="en-US" w:eastAsia="zh-CN"/>
        </w:rPr>
        <w:t>（二）以房定地，实施精准高效的土地供应管理</w:t>
      </w:r>
      <w:r>
        <w:tab/>
      </w:r>
      <w:r>
        <w:fldChar w:fldCharType="begin"/>
      </w:r>
      <w:r>
        <w:instrText xml:space="preserve"> PAGEREF _Toc13343 \h </w:instrText>
      </w:r>
      <w:r>
        <w:fldChar w:fldCharType="separate"/>
      </w:r>
      <w:r>
        <w:t>35</w:t>
      </w:r>
      <w:r>
        <w:fldChar w:fldCharType="end"/>
      </w:r>
      <w:r>
        <w:rPr>
          <w:rFonts w:hint="default"/>
          <w:highlight w:val="none"/>
          <w:lang w:val="en-US" w:eastAsia="zh-CN"/>
        </w:rPr>
        <w:fldChar w:fldCharType="end"/>
      </w:r>
    </w:p>
    <w:p w14:paraId="650FCF03">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_Toc30578 </w:instrText>
      </w:r>
      <w:r>
        <w:rPr>
          <w:rFonts w:hint="default"/>
          <w:highlight w:val="none"/>
          <w:lang w:val="en-US" w:eastAsia="zh-CN"/>
        </w:rPr>
        <w:fldChar w:fldCharType="separate"/>
      </w:r>
      <w:r>
        <w:rPr>
          <w:rFonts w:hint="eastAsia"/>
          <w:highlight w:val="none"/>
          <w:lang w:val="en-US" w:eastAsia="zh-CN"/>
        </w:rPr>
        <w:t>（三）以房定钱，优化房地产融资与资金监管机制</w:t>
      </w:r>
      <w:r>
        <w:tab/>
      </w:r>
      <w:r>
        <w:fldChar w:fldCharType="begin"/>
      </w:r>
      <w:r>
        <w:instrText xml:space="preserve"> PAGEREF _Toc30578 \h </w:instrText>
      </w:r>
      <w:r>
        <w:fldChar w:fldCharType="separate"/>
      </w:r>
      <w:r>
        <w:t>36</w:t>
      </w:r>
      <w:r>
        <w:fldChar w:fldCharType="end"/>
      </w:r>
      <w:r>
        <w:rPr>
          <w:rFonts w:hint="default"/>
          <w:highlight w:val="none"/>
          <w:lang w:val="en-US" w:eastAsia="zh-CN"/>
        </w:rPr>
        <w:fldChar w:fldCharType="end"/>
      </w:r>
    </w:p>
    <w:p w14:paraId="5CCF8CC8">
      <w:pPr>
        <w:pStyle w:val="15"/>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_Toc6855 </w:instrText>
      </w:r>
      <w:r>
        <w:rPr>
          <w:rFonts w:hint="default"/>
          <w:highlight w:val="none"/>
          <w:lang w:val="en-US" w:eastAsia="zh-CN"/>
        </w:rPr>
        <w:fldChar w:fldCharType="separate"/>
      </w:r>
      <w:r>
        <w:rPr>
          <w:rFonts w:hint="eastAsia"/>
          <w:highlight w:val="none"/>
          <w:lang w:val="en-US" w:eastAsia="zh-CN"/>
        </w:rPr>
        <w:t>六、保障措施</w:t>
      </w:r>
      <w:r>
        <w:tab/>
      </w:r>
      <w:r>
        <w:fldChar w:fldCharType="begin"/>
      </w:r>
      <w:r>
        <w:instrText xml:space="preserve"> PAGEREF _Toc6855 \h </w:instrText>
      </w:r>
      <w:r>
        <w:fldChar w:fldCharType="separate"/>
      </w:r>
      <w:r>
        <w:t>37</w:t>
      </w:r>
      <w:r>
        <w:fldChar w:fldCharType="end"/>
      </w:r>
      <w:r>
        <w:rPr>
          <w:rFonts w:hint="default"/>
          <w:highlight w:val="none"/>
          <w:lang w:val="en-US" w:eastAsia="zh-CN"/>
        </w:rPr>
        <w:fldChar w:fldCharType="end"/>
      </w:r>
    </w:p>
    <w:p w14:paraId="483311EA">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_Toc23819 </w:instrText>
      </w:r>
      <w:r>
        <w:rPr>
          <w:rFonts w:hint="default"/>
          <w:highlight w:val="none"/>
          <w:lang w:val="en-US" w:eastAsia="zh-CN"/>
        </w:rPr>
        <w:fldChar w:fldCharType="separate"/>
      </w:r>
      <w:r>
        <w:rPr>
          <w:rFonts w:hint="eastAsia"/>
          <w:highlight w:val="none"/>
          <w:lang w:val="en-US" w:eastAsia="zh-CN"/>
        </w:rPr>
        <w:t>（一）</w:t>
      </w:r>
      <w:r>
        <w:rPr>
          <w:rFonts w:hint="default"/>
          <w:highlight w:val="none"/>
          <w:lang w:val="en-US" w:eastAsia="zh-CN"/>
        </w:rPr>
        <w:t>加强组织领导，压紧压实主体责任</w:t>
      </w:r>
      <w:r>
        <w:tab/>
      </w:r>
      <w:r>
        <w:fldChar w:fldCharType="begin"/>
      </w:r>
      <w:r>
        <w:instrText xml:space="preserve"> PAGEREF _Toc23819 \h </w:instrText>
      </w:r>
      <w:r>
        <w:fldChar w:fldCharType="separate"/>
      </w:r>
      <w:r>
        <w:t>37</w:t>
      </w:r>
      <w:r>
        <w:fldChar w:fldCharType="end"/>
      </w:r>
      <w:r>
        <w:rPr>
          <w:rFonts w:hint="default"/>
          <w:highlight w:val="none"/>
          <w:lang w:val="en-US" w:eastAsia="zh-CN"/>
        </w:rPr>
        <w:fldChar w:fldCharType="end"/>
      </w:r>
    </w:p>
    <w:p w14:paraId="4D72D3C7">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_Toc29928 </w:instrText>
      </w:r>
      <w:r>
        <w:rPr>
          <w:rFonts w:hint="default"/>
          <w:highlight w:val="none"/>
          <w:lang w:val="en-US" w:eastAsia="zh-CN"/>
        </w:rPr>
        <w:fldChar w:fldCharType="separate"/>
      </w:r>
      <w:r>
        <w:rPr>
          <w:rFonts w:hint="eastAsia"/>
          <w:highlight w:val="none"/>
          <w:lang w:val="en-US" w:eastAsia="zh-CN"/>
        </w:rPr>
        <w:t>（二）</w:t>
      </w:r>
      <w:r>
        <w:rPr>
          <w:rFonts w:hint="default"/>
          <w:highlight w:val="none"/>
          <w:lang w:val="en-US" w:eastAsia="zh-CN"/>
        </w:rPr>
        <w:t>编制年度计划，有序推动规划实施</w:t>
      </w:r>
      <w:r>
        <w:tab/>
      </w:r>
      <w:r>
        <w:fldChar w:fldCharType="begin"/>
      </w:r>
      <w:r>
        <w:instrText xml:space="preserve"> PAGEREF _Toc29928 \h </w:instrText>
      </w:r>
      <w:r>
        <w:fldChar w:fldCharType="separate"/>
      </w:r>
      <w:r>
        <w:t>37</w:t>
      </w:r>
      <w:r>
        <w:fldChar w:fldCharType="end"/>
      </w:r>
      <w:r>
        <w:rPr>
          <w:rFonts w:hint="default"/>
          <w:highlight w:val="none"/>
          <w:lang w:val="en-US" w:eastAsia="zh-CN"/>
        </w:rPr>
        <w:fldChar w:fldCharType="end"/>
      </w:r>
    </w:p>
    <w:p w14:paraId="2DB05BD2">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_Toc9989 </w:instrText>
      </w:r>
      <w:r>
        <w:rPr>
          <w:rFonts w:hint="default"/>
          <w:highlight w:val="none"/>
          <w:lang w:val="en-US" w:eastAsia="zh-CN"/>
        </w:rPr>
        <w:fldChar w:fldCharType="separate"/>
      </w:r>
      <w:r>
        <w:rPr>
          <w:rFonts w:hint="eastAsia"/>
          <w:highlight w:val="none"/>
          <w:lang w:val="en-US" w:eastAsia="zh-CN"/>
        </w:rPr>
        <w:t>（三）</w:t>
      </w:r>
      <w:r>
        <w:rPr>
          <w:rFonts w:hint="default"/>
          <w:highlight w:val="none"/>
          <w:lang w:val="en-US" w:eastAsia="zh-CN"/>
        </w:rPr>
        <w:t>开展中期评估，全面评估实施进度</w:t>
      </w:r>
      <w:r>
        <w:tab/>
      </w:r>
      <w:r>
        <w:fldChar w:fldCharType="begin"/>
      </w:r>
      <w:r>
        <w:instrText xml:space="preserve"> PAGEREF _Toc9989 \h </w:instrText>
      </w:r>
      <w:r>
        <w:fldChar w:fldCharType="separate"/>
      </w:r>
      <w:r>
        <w:t>38</w:t>
      </w:r>
      <w:r>
        <w:fldChar w:fldCharType="end"/>
      </w:r>
      <w:r>
        <w:rPr>
          <w:rFonts w:hint="default"/>
          <w:highlight w:val="none"/>
          <w:lang w:val="en-US" w:eastAsia="zh-CN"/>
        </w:rPr>
        <w:fldChar w:fldCharType="end"/>
      </w:r>
    </w:p>
    <w:p w14:paraId="0149A76F">
      <w:pPr>
        <w:pStyle w:val="2"/>
        <w:tabs>
          <w:tab w:val="right" w:leader="dot" w:pos="8306"/>
        </w:tabs>
      </w:pPr>
      <w:r>
        <w:rPr>
          <w:rFonts w:hint="default"/>
          <w:highlight w:val="none"/>
          <w:lang w:val="en-US" w:eastAsia="zh-CN"/>
        </w:rPr>
        <w:fldChar w:fldCharType="begin"/>
      </w:r>
      <w:r>
        <w:rPr>
          <w:rFonts w:hint="default"/>
          <w:highlight w:val="none"/>
          <w:lang w:val="en-US" w:eastAsia="zh-CN"/>
        </w:rPr>
        <w:instrText xml:space="preserve"> HYPERLINK \l _Toc8836 </w:instrText>
      </w:r>
      <w:r>
        <w:rPr>
          <w:rFonts w:hint="default"/>
          <w:highlight w:val="none"/>
          <w:lang w:val="en-US" w:eastAsia="zh-CN"/>
        </w:rPr>
        <w:fldChar w:fldCharType="separate"/>
      </w:r>
      <w:r>
        <w:rPr>
          <w:rFonts w:hint="eastAsia"/>
          <w:highlight w:val="none"/>
          <w:lang w:val="en-US" w:eastAsia="zh-CN"/>
        </w:rPr>
        <w:t>（四）</w:t>
      </w:r>
      <w:r>
        <w:rPr>
          <w:rFonts w:hint="default"/>
          <w:highlight w:val="none"/>
          <w:lang w:val="en-US" w:eastAsia="zh-CN"/>
        </w:rPr>
        <w:t>加强宣传引导，积极凝聚社会力量</w:t>
      </w:r>
      <w:r>
        <w:tab/>
      </w:r>
      <w:r>
        <w:fldChar w:fldCharType="begin"/>
      </w:r>
      <w:r>
        <w:instrText xml:space="preserve"> PAGEREF _Toc8836 \h </w:instrText>
      </w:r>
      <w:r>
        <w:fldChar w:fldCharType="separate"/>
      </w:r>
      <w:r>
        <w:t>38</w:t>
      </w:r>
      <w:r>
        <w:fldChar w:fldCharType="end"/>
      </w:r>
      <w:r>
        <w:rPr>
          <w:rFonts w:hint="default"/>
          <w:highlight w:val="none"/>
          <w:lang w:val="en-US" w:eastAsia="zh-CN"/>
        </w:rPr>
        <w:fldChar w:fldCharType="end"/>
      </w:r>
    </w:p>
    <w:p w14:paraId="562E5BEF">
      <w:pPr>
        <w:bidi w:val="0"/>
        <w:rPr>
          <w:rFonts w:hint="default"/>
          <w:highlight w:val="none"/>
          <w:lang w:val="en-US" w:eastAsia="zh-CN"/>
        </w:rPr>
        <w:sectPr>
          <w:footerReference r:id="rId11" w:type="default"/>
          <w:pgSz w:w="11906" w:h="16838"/>
          <w:pgMar w:top="1440" w:right="1800" w:bottom="1440" w:left="1800" w:header="851" w:footer="992" w:gutter="0"/>
          <w:pgNumType w:fmt="upperRoman" w:start="1"/>
          <w:cols w:space="425" w:num="1"/>
          <w:docGrid w:type="lines" w:linePitch="312" w:charSpace="0"/>
        </w:sectPr>
      </w:pPr>
      <w:r>
        <w:rPr>
          <w:rFonts w:hint="default"/>
          <w:highlight w:val="none"/>
          <w:lang w:val="en-US" w:eastAsia="zh-CN"/>
        </w:rPr>
        <w:fldChar w:fldCharType="end"/>
      </w:r>
    </w:p>
    <w:p w14:paraId="12504981">
      <w:pPr>
        <w:pStyle w:val="3"/>
        <w:bidi w:val="0"/>
        <w:rPr>
          <w:rFonts w:hint="eastAsia"/>
          <w:highlight w:val="none"/>
          <w:lang w:val="en-US" w:eastAsia="zh-CN"/>
        </w:rPr>
      </w:pPr>
      <w:bookmarkStart w:id="2" w:name="_Toc31680"/>
      <w:bookmarkStart w:id="3" w:name="_Toc6776"/>
      <w:bookmarkStart w:id="4" w:name="_Toc11994"/>
      <w:bookmarkStart w:id="5" w:name="_Toc3654"/>
      <w:bookmarkStart w:id="6" w:name="_Toc31892"/>
      <w:bookmarkStart w:id="7" w:name="_Toc10599"/>
      <w:bookmarkStart w:id="8" w:name="_Toc31261"/>
      <w:bookmarkStart w:id="9" w:name="_Toc11243"/>
      <w:bookmarkStart w:id="10" w:name="_Toc30094"/>
      <w:bookmarkStart w:id="11" w:name="_Toc1730"/>
      <w:bookmarkStart w:id="12" w:name="_Toc26676"/>
      <w:bookmarkStart w:id="13" w:name="_Toc16855"/>
      <w:bookmarkStart w:id="14" w:name="_Toc9630"/>
      <w:bookmarkStart w:id="15" w:name="_Toc6848"/>
      <w:bookmarkStart w:id="16" w:name="_Toc25333"/>
      <w:bookmarkStart w:id="17" w:name="_Toc16946"/>
      <w:bookmarkStart w:id="18" w:name="_Toc28377"/>
      <w:bookmarkStart w:id="19" w:name="_Toc21169"/>
      <w:bookmarkStart w:id="20" w:name="_Toc2444"/>
      <w:r>
        <w:rPr>
          <w:rFonts w:hint="eastAsia"/>
          <w:highlight w:val="none"/>
          <w:lang w:val="en-US" w:eastAsia="zh-CN"/>
        </w:rPr>
        <w:t>一、发展基础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F8F1641">
      <w:pPr>
        <w:rPr>
          <w:rFonts w:hint="eastAsia"/>
          <w:highlight w:val="none"/>
        </w:rPr>
      </w:pPr>
      <w:r>
        <w:rPr>
          <w:rFonts w:hint="eastAsia"/>
          <w:highlight w:val="none"/>
        </w:rPr>
        <w:t>过去五年，房地产市场历经深度调整，住房发展面临重重挑战。在此期间，全市坚持改革创新、精准施策，统筹推进风险化解</w:t>
      </w:r>
      <w:r>
        <w:rPr>
          <w:rFonts w:hint="eastAsia"/>
          <w:highlight w:val="none"/>
          <w:lang w:eastAsia="zh-CN"/>
        </w:rPr>
        <w:t>、</w:t>
      </w:r>
      <w:r>
        <w:rPr>
          <w:rFonts w:hint="eastAsia"/>
          <w:highlight w:val="none"/>
        </w:rPr>
        <w:t>住房保障</w:t>
      </w:r>
      <w:r>
        <w:rPr>
          <w:rFonts w:hint="eastAsia"/>
          <w:highlight w:val="none"/>
          <w:lang w:val="en-US" w:eastAsia="zh-CN"/>
        </w:rPr>
        <w:t>和</w:t>
      </w:r>
      <w:r>
        <w:rPr>
          <w:rFonts w:hint="eastAsia"/>
          <w:highlight w:val="none"/>
          <w:lang w:eastAsia="zh-CN"/>
        </w:rPr>
        <w:t>“</w:t>
      </w:r>
      <w:r>
        <w:rPr>
          <w:rFonts w:hint="eastAsia"/>
          <w:highlight w:val="none"/>
          <w:lang w:val="en-US" w:eastAsia="zh-CN"/>
        </w:rPr>
        <w:t>好房子</w:t>
      </w:r>
      <w:r>
        <w:rPr>
          <w:rFonts w:hint="eastAsia"/>
          <w:highlight w:val="none"/>
          <w:lang w:eastAsia="zh-CN"/>
        </w:rPr>
        <w:t>”</w:t>
      </w:r>
      <w:r>
        <w:rPr>
          <w:rFonts w:hint="eastAsia"/>
          <w:highlight w:val="none"/>
          <w:lang w:val="en-US" w:eastAsia="zh-CN"/>
        </w:rPr>
        <w:t>建设</w:t>
      </w:r>
      <w:r>
        <w:rPr>
          <w:rFonts w:hint="eastAsia"/>
          <w:highlight w:val="none"/>
        </w:rPr>
        <w:t>工作，取得显著成效。中低收入群体</w:t>
      </w:r>
      <w:r>
        <w:rPr>
          <w:rFonts w:hint="eastAsia"/>
          <w:highlight w:val="none"/>
          <w:lang w:val="en-US" w:eastAsia="zh-CN"/>
        </w:rPr>
        <w:t>和</w:t>
      </w:r>
      <w:r>
        <w:rPr>
          <w:rFonts w:hint="eastAsia"/>
          <w:highlight w:val="none"/>
        </w:rPr>
        <w:t>新市民、青年人住房困难得到缓解，存量住房盘活和住宅品质提升稳步推进，高质量住房发展示范作用逐步显现，为南阳作为省域副中心城市建设提供了有力支撑。</w:t>
      </w:r>
    </w:p>
    <w:p w14:paraId="061CB765">
      <w:pPr>
        <w:pStyle w:val="4"/>
        <w:bidi w:val="0"/>
        <w:rPr>
          <w:rFonts w:hint="eastAsia"/>
          <w:highlight w:val="none"/>
          <w:lang w:val="en-US" w:eastAsia="zh-CN"/>
        </w:rPr>
      </w:pPr>
      <w:bookmarkStart w:id="21" w:name="_Toc19328"/>
      <w:bookmarkStart w:id="22" w:name="_Toc15659"/>
      <w:bookmarkStart w:id="23" w:name="_Toc31294"/>
      <w:bookmarkStart w:id="24" w:name="_Toc31846"/>
      <w:bookmarkStart w:id="25" w:name="_Toc29872"/>
      <w:bookmarkStart w:id="26" w:name="_Toc8177"/>
      <w:bookmarkStart w:id="27" w:name="_Toc17555"/>
      <w:bookmarkStart w:id="28" w:name="_Toc18498"/>
      <w:bookmarkStart w:id="29" w:name="_Toc19334"/>
      <w:bookmarkStart w:id="30" w:name="_Toc20197"/>
      <w:bookmarkStart w:id="31" w:name="_Toc7451"/>
      <w:bookmarkStart w:id="32" w:name="_Toc30781"/>
      <w:bookmarkStart w:id="33" w:name="_Toc15198"/>
      <w:bookmarkStart w:id="34" w:name="_Toc13362"/>
      <w:bookmarkStart w:id="35" w:name="_Toc31791"/>
      <w:bookmarkStart w:id="36" w:name="_Toc6144"/>
      <w:bookmarkStart w:id="37" w:name="_Toc5594"/>
      <w:bookmarkStart w:id="38" w:name="_Toc13494"/>
      <w:bookmarkStart w:id="39" w:name="_Toc11681"/>
      <w:bookmarkStart w:id="40" w:name="_Toc21108"/>
      <w:bookmarkStart w:id="41" w:name="_Toc9047"/>
      <w:r>
        <w:rPr>
          <w:rFonts w:hint="eastAsia"/>
          <w:highlight w:val="none"/>
          <w:lang w:val="en-US" w:eastAsia="zh-CN"/>
        </w:rPr>
        <w:t>（一）发展成效</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9590980">
      <w:pPr>
        <w:pStyle w:val="5"/>
        <w:bidi w:val="0"/>
        <w:rPr>
          <w:rFonts w:hint="default"/>
          <w:highlight w:val="none"/>
          <w:lang w:val="en-US" w:eastAsia="zh-CN"/>
        </w:rPr>
      </w:pPr>
      <w:bookmarkStart w:id="42" w:name="_Toc4874"/>
      <w:bookmarkStart w:id="43" w:name="_Toc4699"/>
      <w:bookmarkStart w:id="44" w:name="_Toc7572"/>
      <w:bookmarkStart w:id="45" w:name="_Toc3389"/>
      <w:bookmarkStart w:id="46" w:name="_Toc30990"/>
      <w:bookmarkStart w:id="47" w:name="_Toc27546"/>
      <w:bookmarkStart w:id="48" w:name="_Toc700"/>
      <w:bookmarkStart w:id="49" w:name="_Toc2768"/>
      <w:r>
        <w:rPr>
          <w:rFonts w:hint="default"/>
          <w:highlight w:val="none"/>
          <w:lang w:val="en-US" w:eastAsia="zh-CN"/>
        </w:rPr>
        <w:t>1</w:t>
      </w:r>
      <w:r>
        <w:rPr>
          <w:rFonts w:hint="eastAsia"/>
          <w:highlight w:val="none"/>
          <w:lang w:val="en-US" w:eastAsia="zh-CN"/>
        </w:rPr>
        <w:t>.房地产市场</w:t>
      </w:r>
      <w:r>
        <w:rPr>
          <w:rFonts w:hint="default"/>
          <w:highlight w:val="none"/>
          <w:lang w:val="en-US" w:eastAsia="zh-CN"/>
        </w:rPr>
        <w:t>止跌回稳态势向好</w:t>
      </w:r>
      <w:r>
        <w:rPr>
          <w:rFonts w:hint="eastAsia"/>
          <w:highlight w:val="none"/>
          <w:lang w:val="en-US" w:eastAsia="zh-CN"/>
        </w:rPr>
        <w:t>。</w:t>
      </w:r>
      <w:bookmarkEnd w:id="42"/>
      <w:bookmarkEnd w:id="43"/>
      <w:bookmarkEnd w:id="44"/>
      <w:bookmarkEnd w:id="45"/>
      <w:bookmarkEnd w:id="46"/>
      <w:bookmarkEnd w:id="47"/>
      <w:bookmarkEnd w:id="48"/>
    </w:p>
    <w:p w14:paraId="3A9541B1">
      <w:pPr>
        <w:bidi w:val="0"/>
        <w:rPr>
          <w:rFonts w:hint="default"/>
          <w:strike/>
          <w:highlight w:val="none"/>
          <w:lang w:val="en-US" w:eastAsia="zh-CN"/>
        </w:rPr>
      </w:pPr>
      <w:r>
        <w:rPr>
          <w:rFonts w:hint="eastAsia"/>
          <w:b/>
          <w:bCs/>
          <w:highlight w:val="none"/>
          <w:lang w:val="en-US" w:eastAsia="zh-CN"/>
        </w:rPr>
        <w:t>一是持续优化房地产调控政策。</w:t>
      </w:r>
      <w:r>
        <w:rPr>
          <w:rFonts w:hint="eastAsia"/>
          <w:highlight w:val="none"/>
          <w:lang w:val="en-US" w:eastAsia="zh-CN"/>
        </w:rPr>
        <w:t>先后出台《关于进一步促进中心城区房地产市场平稳健康发展的通知》（宛政办〔2023〕16号）、《南阳市持续扩大消费若干政策措施》（宛政办〔2023〕37号）、《关于持续促进中心城区房地产市场平稳健康发展若干措施》（宛建行规〔2025〕4号）等市级政策文件，全力促进房地产市场止跌回稳。</w:t>
      </w:r>
      <w:r>
        <w:rPr>
          <w:rFonts w:hint="eastAsia"/>
          <w:b/>
          <w:bCs/>
          <w:highlight w:val="none"/>
          <w:lang w:val="en-US" w:eastAsia="zh-CN"/>
        </w:rPr>
        <w:t>二是加大需求端支持力度。</w:t>
      </w:r>
      <w:r>
        <w:rPr>
          <w:rFonts w:hint="eastAsia"/>
          <w:highlight w:val="none"/>
          <w:lang w:val="en-US" w:eastAsia="zh-CN"/>
        </w:rPr>
        <w:t>明确提出降低贷款利率和首付比例、加大公积金贷款支持、发放契税补贴、推行“以旧换新”、实施城中村改造房票安置等一系列举措，有效降低居民购房成本，释放住房需求潜力。</w:t>
      </w:r>
      <w:r>
        <w:rPr>
          <w:rFonts w:hint="eastAsia"/>
          <w:b/>
          <w:bCs/>
          <w:highlight w:val="none"/>
          <w:lang w:val="en-US" w:eastAsia="zh-CN"/>
        </w:rPr>
        <w:t>三是多措并举提振市场信心。</w:t>
      </w:r>
      <w:r>
        <w:rPr>
          <w:rFonts w:hint="eastAsia"/>
          <w:highlight w:val="none"/>
          <w:lang w:val="en-US" w:eastAsia="zh-CN"/>
        </w:rPr>
        <w:t>通过举办新春房展会、青年购房节，发放购房补贴和购房券，开展政银企对接活动，实施住房装修补贴等举措，形成政策与活动协同发力，市场信心持续修复。</w:t>
      </w:r>
    </w:p>
    <w:p w14:paraId="665CF2C7">
      <w:pPr>
        <w:pStyle w:val="5"/>
        <w:bidi w:val="0"/>
        <w:rPr>
          <w:rFonts w:hint="default"/>
          <w:highlight w:val="none"/>
          <w:lang w:val="en-US" w:eastAsia="zh-CN"/>
        </w:rPr>
      </w:pPr>
      <w:bookmarkStart w:id="50" w:name="_Toc22436"/>
      <w:bookmarkStart w:id="51" w:name="_Toc21468"/>
      <w:bookmarkStart w:id="52" w:name="_Toc20032"/>
      <w:bookmarkStart w:id="53" w:name="_Toc21781"/>
      <w:bookmarkStart w:id="54" w:name="_Toc14459"/>
      <w:bookmarkStart w:id="55" w:name="_Toc27000"/>
      <w:bookmarkStart w:id="56" w:name="_Toc20855"/>
      <w:r>
        <w:rPr>
          <w:rFonts w:hint="eastAsia"/>
          <w:highlight w:val="none"/>
          <w:lang w:val="en-US" w:eastAsia="zh-CN"/>
        </w:rPr>
        <w:t>2.</w:t>
      </w:r>
      <w:r>
        <w:rPr>
          <w:rFonts w:hint="default"/>
          <w:highlight w:val="none"/>
          <w:lang w:val="en-US" w:eastAsia="zh-CN"/>
        </w:rPr>
        <w:t>房地产风险化解取得显著成效</w:t>
      </w:r>
      <w:bookmarkEnd w:id="50"/>
      <w:r>
        <w:rPr>
          <w:rFonts w:hint="eastAsia"/>
          <w:highlight w:val="none"/>
          <w:lang w:val="en-US" w:eastAsia="zh-CN"/>
        </w:rPr>
        <w:t>。</w:t>
      </w:r>
      <w:bookmarkEnd w:id="51"/>
      <w:bookmarkEnd w:id="52"/>
      <w:bookmarkEnd w:id="53"/>
      <w:bookmarkEnd w:id="54"/>
      <w:bookmarkEnd w:id="55"/>
      <w:bookmarkEnd w:id="56"/>
    </w:p>
    <w:p w14:paraId="6BE47DE0">
      <w:pPr>
        <w:ind w:firstLine="640"/>
        <w:rPr>
          <w:rFonts w:hint="default"/>
          <w:highlight w:val="none"/>
          <w:lang w:val="en-US" w:eastAsia="zh-CN"/>
        </w:rPr>
      </w:pPr>
      <w:r>
        <w:rPr>
          <w:rFonts w:hint="eastAsia"/>
          <w:b w:val="0"/>
          <w:bCs w:val="0"/>
          <w:highlight w:val="none"/>
          <w:lang w:val="en-US" w:eastAsia="zh-CN"/>
        </w:rPr>
        <w:t>“十四五”期间，扎实开展问题楼盘处置化解和保交房工作。</w:t>
      </w:r>
      <w:r>
        <w:rPr>
          <w:rFonts w:hint="eastAsia"/>
          <w:b/>
          <w:bCs/>
          <w:highlight w:val="none"/>
          <w:lang w:val="en-US" w:eastAsia="zh-CN"/>
        </w:rPr>
        <w:t>一</w:t>
      </w:r>
      <w:r>
        <w:rPr>
          <w:rFonts w:hint="default"/>
          <w:b/>
          <w:bCs/>
          <w:highlight w:val="none"/>
          <w:lang w:val="en-US" w:eastAsia="zh-CN"/>
        </w:rPr>
        <w:t>是保交楼</w:t>
      </w:r>
      <w:r>
        <w:rPr>
          <w:rFonts w:hint="eastAsia"/>
          <w:b/>
          <w:bCs/>
          <w:highlight w:val="none"/>
          <w:lang w:val="en-US" w:eastAsia="zh-CN"/>
        </w:rPr>
        <w:t>专项工作稳步推进</w:t>
      </w:r>
      <w:r>
        <w:rPr>
          <w:rFonts w:hint="default"/>
          <w:b/>
          <w:bCs/>
          <w:highlight w:val="none"/>
          <w:lang w:val="en-US" w:eastAsia="zh-CN"/>
        </w:rPr>
        <w:t>。</w:t>
      </w:r>
      <w:r>
        <w:rPr>
          <w:rFonts w:hint="default"/>
          <w:b w:val="0"/>
          <w:bCs w:val="0"/>
          <w:highlight w:val="none"/>
          <w:lang w:val="en-US" w:eastAsia="zh-CN"/>
        </w:rPr>
        <w:t>建立</w:t>
      </w:r>
      <w:r>
        <w:rPr>
          <w:rFonts w:hint="eastAsia"/>
          <w:b w:val="0"/>
          <w:bCs w:val="0"/>
          <w:highlight w:val="none"/>
          <w:lang w:val="en-US" w:eastAsia="zh-CN"/>
        </w:rPr>
        <w:t>“</w:t>
      </w:r>
      <w:r>
        <w:rPr>
          <w:rFonts w:hint="default"/>
          <w:b w:val="0"/>
          <w:bCs w:val="0"/>
          <w:highlight w:val="none"/>
          <w:lang w:val="en-US" w:eastAsia="zh-CN"/>
        </w:rPr>
        <w:t>一楼一策一专班一银行</w:t>
      </w:r>
      <w:r>
        <w:rPr>
          <w:rFonts w:hint="eastAsia"/>
          <w:b w:val="0"/>
          <w:bCs w:val="0"/>
          <w:highlight w:val="none"/>
          <w:lang w:val="en-US" w:eastAsia="zh-CN"/>
        </w:rPr>
        <w:t>”</w:t>
      </w:r>
      <w:r>
        <w:rPr>
          <w:rFonts w:hint="default"/>
          <w:b w:val="0"/>
          <w:bCs w:val="0"/>
          <w:highlight w:val="none"/>
          <w:lang w:val="en-US" w:eastAsia="zh-CN"/>
        </w:rPr>
        <w:t>机制，用好房地产纾困基金，</w:t>
      </w:r>
      <w:r>
        <w:rPr>
          <w:rFonts w:hint="eastAsia"/>
          <w:b w:val="0"/>
          <w:bCs w:val="0"/>
          <w:highlight w:val="none"/>
          <w:lang w:val="en-US" w:eastAsia="zh-CN"/>
        </w:rPr>
        <w:t>全市专项借款保交楼项目共91个33133套。</w:t>
      </w:r>
      <w:r>
        <w:rPr>
          <w:rFonts w:hint="eastAsia"/>
          <w:b/>
          <w:bCs/>
          <w:highlight w:val="none"/>
          <w:lang w:val="en-US" w:eastAsia="zh-CN"/>
        </w:rPr>
        <w:t>二是“保交房”项目有序推进。</w:t>
      </w:r>
      <w:r>
        <w:rPr>
          <w:rFonts w:hint="default"/>
          <w:b w:val="0"/>
          <w:bCs w:val="0"/>
          <w:highlight w:val="none"/>
          <w:lang w:val="en-US" w:eastAsia="zh-CN"/>
        </w:rPr>
        <w:t>制定</w:t>
      </w:r>
      <w:r>
        <w:rPr>
          <w:rFonts w:hint="eastAsia"/>
          <w:b w:val="0"/>
          <w:bCs w:val="0"/>
          <w:highlight w:val="none"/>
          <w:lang w:val="en-US" w:eastAsia="zh-CN"/>
        </w:rPr>
        <w:t>“</w:t>
      </w:r>
      <w:r>
        <w:rPr>
          <w:rFonts w:hint="default"/>
          <w:b w:val="0"/>
          <w:bCs w:val="0"/>
          <w:highlight w:val="none"/>
          <w:lang w:val="en-US" w:eastAsia="zh-CN"/>
        </w:rPr>
        <w:t>1+8+X</w:t>
      </w:r>
      <w:r>
        <w:rPr>
          <w:rFonts w:hint="eastAsia"/>
          <w:b w:val="0"/>
          <w:bCs w:val="0"/>
          <w:highlight w:val="none"/>
          <w:lang w:val="en-US" w:eastAsia="zh-CN"/>
        </w:rPr>
        <w:t>”</w:t>
      </w:r>
      <w:r>
        <w:rPr>
          <w:rFonts w:hint="default"/>
          <w:b w:val="0"/>
          <w:bCs w:val="0"/>
          <w:highlight w:val="none"/>
          <w:lang w:val="en-US" w:eastAsia="zh-CN"/>
        </w:rPr>
        <w:t>的南阳市保交房</w:t>
      </w:r>
      <w:r>
        <w:rPr>
          <w:rFonts w:hint="eastAsia"/>
          <w:b w:val="0"/>
          <w:bCs w:val="0"/>
          <w:highlight w:val="none"/>
          <w:lang w:val="en-US" w:eastAsia="zh-CN"/>
        </w:rPr>
        <w:t>“</w:t>
      </w:r>
      <w:r>
        <w:rPr>
          <w:rFonts w:hint="default"/>
          <w:b w:val="0"/>
          <w:bCs w:val="0"/>
          <w:highlight w:val="none"/>
          <w:lang w:val="en-US" w:eastAsia="zh-CN"/>
        </w:rPr>
        <w:t>一揽子</w:t>
      </w:r>
      <w:r>
        <w:rPr>
          <w:rFonts w:hint="eastAsia"/>
          <w:b w:val="0"/>
          <w:bCs w:val="0"/>
          <w:highlight w:val="none"/>
          <w:lang w:val="en-US" w:eastAsia="zh-CN"/>
        </w:rPr>
        <w:t>”</w:t>
      </w:r>
      <w:r>
        <w:rPr>
          <w:rFonts w:hint="default"/>
          <w:b w:val="0"/>
          <w:bCs w:val="0"/>
          <w:highlight w:val="none"/>
          <w:lang w:val="en-US" w:eastAsia="zh-CN"/>
        </w:rPr>
        <w:t>方案</w:t>
      </w:r>
      <w:r>
        <w:rPr>
          <w:rFonts w:hint="eastAsia"/>
          <w:b w:val="0"/>
          <w:bCs w:val="0"/>
          <w:highlight w:val="none"/>
          <w:lang w:val="en-US" w:eastAsia="zh-CN"/>
        </w:rPr>
        <w:t>，</w:t>
      </w:r>
      <w:r>
        <w:rPr>
          <w:rFonts w:hint="default"/>
          <w:b w:val="0"/>
          <w:bCs w:val="0"/>
          <w:highlight w:val="none"/>
          <w:lang w:val="en-US" w:eastAsia="zh-CN"/>
        </w:rPr>
        <w:t>126个项目办理竣备。</w:t>
      </w:r>
      <w:r>
        <w:rPr>
          <w:rFonts w:hint="eastAsia"/>
          <w:b/>
          <w:bCs/>
          <w:highlight w:val="none"/>
          <w:lang w:val="en-US" w:eastAsia="zh-CN"/>
        </w:rPr>
        <w:t>三是问题楼盘化解成效明显。</w:t>
      </w:r>
      <w:r>
        <w:rPr>
          <w:rFonts w:hint="default"/>
          <w:highlight w:val="none"/>
          <w:lang w:val="en-US" w:eastAsia="zh-CN"/>
        </w:rPr>
        <w:t>纳入省市问题楼盘处置化解台账的456个项目，</w:t>
      </w:r>
      <w:r>
        <w:rPr>
          <w:rFonts w:hint="default"/>
          <w:color w:val="auto"/>
          <w:highlight w:val="none"/>
        </w:rPr>
        <w:t>按照省定标准处置化解</w:t>
      </w:r>
      <w:r>
        <w:rPr>
          <w:rFonts w:hint="eastAsia"/>
          <w:color w:val="auto"/>
          <w:highlight w:val="none"/>
          <w:lang w:val="en-US" w:eastAsia="zh-CN"/>
        </w:rPr>
        <w:t>，</w:t>
      </w:r>
      <w:r>
        <w:rPr>
          <w:rFonts w:hint="eastAsia"/>
          <w:color w:val="auto"/>
          <w:highlight w:val="none"/>
        </w:rPr>
        <w:t>361个项目已办理不动产首次登记</w:t>
      </w:r>
      <w:r>
        <w:rPr>
          <w:rFonts w:hint="eastAsia"/>
          <w:color w:val="auto"/>
          <w:highlight w:val="none"/>
          <w:lang w:val="en-US" w:eastAsia="zh-CN"/>
        </w:rPr>
        <w:t>。</w:t>
      </w:r>
      <w:r>
        <w:rPr>
          <w:rFonts w:hint="eastAsia"/>
          <w:b/>
          <w:bCs/>
          <w:color w:val="auto"/>
          <w:highlight w:val="none"/>
        </w:rPr>
        <w:t>四是房屋征收安置问题项目整改工作</w:t>
      </w:r>
      <w:r>
        <w:rPr>
          <w:rFonts w:hint="eastAsia"/>
          <w:b/>
          <w:bCs/>
          <w:color w:val="auto"/>
          <w:highlight w:val="none"/>
          <w:lang w:val="en-US" w:eastAsia="zh-CN"/>
        </w:rPr>
        <w:t>持续攻坚。</w:t>
      </w:r>
      <w:r>
        <w:rPr>
          <w:rFonts w:hint="eastAsia"/>
          <w:color w:val="auto"/>
          <w:highlight w:val="none"/>
        </w:rPr>
        <w:t>已完成整改交付项目93个，交付率81.58%</w:t>
      </w:r>
      <w:r>
        <w:rPr>
          <w:rFonts w:hint="eastAsia"/>
          <w:color w:val="auto"/>
          <w:highlight w:val="none"/>
          <w:lang w:eastAsia="zh-CN"/>
        </w:rPr>
        <w:t>。</w:t>
      </w:r>
      <w:r>
        <w:rPr>
          <w:rFonts w:hint="eastAsia"/>
          <w:b/>
          <w:bCs/>
          <w:highlight w:val="none"/>
          <w:lang w:val="en-US" w:eastAsia="zh-CN"/>
        </w:rPr>
        <w:t>五是房地产融资协调机制建立健全。</w:t>
      </w:r>
      <w:r>
        <w:rPr>
          <w:rFonts w:hint="eastAsia"/>
          <w:highlight w:val="none"/>
          <w:lang w:val="en-US" w:eastAsia="zh-CN"/>
        </w:rPr>
        <w:t>推动房地产融资协调机制扩围增效，项目资金投放率达</w:t>
      </w:r>
      <w:r>
        <w:rPr>
          <w:rFonts w:hint="default" w:ascii="Times New Roman" w:hAnsi="Times New Roman" w:eastAsia="仿宋" w:cs="Times New Roman"/>
          <w:color w:val="auto"/>
          <w:sz w:val="32"/>
          <w:szCs w:val="32"/>
          <w:highlight w:val="none"/>
          <w:lang w:val="en-US" w:eastAsia="zh-CN"/>
        </w:rPr>
        <w:t>88.98%</w:t>
      </w:r>
      <w:r>
        <w:rPr>
          <w:rFonts w:hint="eastAsia"/>
          <w:highlight w:val="none"/>
          <w:lang w:val="en-US" w:eastAsia="zh-CN"/>
        </w:rPr>
        <w:t>，授信和投放额度均居全省第3，有力保障了项目合理融资需求。</w:t>
      </w:r>
    </w:p>
    <w:p w14:paraId="20B3A9F8">
      <w:pPr>
        <w:pStyle w:val="5"/>
        <w:bidi w:val="0"/>
        <w:rPr>
          <w:rFonts w:hint="eastAsia"/>
          <w:highlight w:val="none"/>
          <w:lang w:val="en-US" w:eastAsia="zh-CN"/>
        </w:rPr>
      </w:pPr>
      <w:bookmarkStart w:id="57" w:name="_Toc29130"/>
      <w:bookmarkStart w:id="58" w:name="_Toc17856"/>
      <w:bookmarkStart w:id="59" w:name="_Toc27066"/>
      <w:bookmarkStart w:id="60" w:name="_Toc31504"/>
      <w:bookmarkStart w:id="61" w:name="_Toc28757"/>
      <w:bookmarkStart w:id="62" w:name="_Toc7554"/>
      <w:r>
        <w:rPr>
          <w:rFonts w:hint="eastAsia"/>
          <w:highlight w:val="none"/>
          <w:lang w:val="en-US" w:eastAsia="zh-CN"/>
        </w:rPr>
        <w:t>3.住房保障供给能力持续提升。</w:t>
      </w:r>
      <w:bookmarkEnd w:id="49"/>
      <w:bookmarkEnd w:id="57"/>
      <w:bookmarkEnd w:id="58"/>
      <w:bookmarkEnd w:id="59"/>
      <w:bookmarkEnd w:id="60"/>
      <w:bookmarkEnd w:id="61"/>
      <w:bookmarkEnd w:id="62"/>
    </w:p>
    <w:p w14:paraId="2E228F62">
      <w:pPr>
        <w:bidi w:val="0"/>
        <w:rPr>
          <w:rFonts w:hint="default"/>
          <w:highlight w:val="none"/>
          <w:lang w:val="en-US" w:eastAsia="zh-CN"/>
        </w:rPr>
      </w:pPr>
      <w:r>
        <w:rPr>
          <w:rFonts w:hint="eastAsia"/>
          <w:b/>
          <w:bCs/>
          <w:highlight w:val="none"/>
          <w:lang w:val="en-US" w:eastAsia="zh-CN"/>
        </w:rPr>
        <w:t>一是</w:t>
      </w:r>
      <w:r>
        <w:rPr>
          <w:rFonts w:hint="default"/>
          <w:b/>
          <w:bCs/>
          <w:highlight w:val="none"/>
          <w:lang w:val="en-US" w:eastAsia="zh-CN"/>
        </w:rPr>
        <w:t>持续加大保障性住房供给</w:t>
      </w:r>
      <w:r>
        <w:rPr>
          <w:rFonts w:hint="eastAsia"/>
          <w:b/>
          <w:bCs/>
          <w:highlight w:val="none"/>
          <w:lang w:val="en-US" w:eastAsia="zh-CN"/>
        </w:rPr>
        <w:t>。</w:t>
      </w:r>
      <w:r>
        <w:rPr>
          <w:rFonts w:hint="eastAsia"/>
          <w:b w:val="0"/>
          <w:bCs w:val="0"/>
          <w:highlight w:val="none"/>
          <w:lang w:val="en-US" w:eastAsia="zh-CN"/>
        </w:rPr>
        <w:t>“十四五”期间，全市筹建保障性租赁住房4.1万套，配售型保障性住房1876套，公租房配租率达95％以上，全市发放城镇租赁住房补贴4635户，</w:t>
      </w:r>
      <w:r>
        <w:rPr>
          <w:rFonts w:hint="default"/>
          <w:highlight w:val="none"/>
          <w:lang w:val="en-US" w:eastAsia="zh-CN"/>
        </w:rPr>
        <w:t>逐步形成了</w:t>
      </w:r>
      <w:r>
        <w:rPr>
          <w:rFonts w:hint="eastAsia"/>
          <w:highlight w:val="none"/>
          <w:lang w:val="en-US" w:eastAsia="zh-CN"/>
        </w:rPr>
        <w:t>“配租+配售”</w:t>
      </w:r>
      <w:r>
        <w:rPr>
          <w:rFonts w:hint="default"/>
          <w:highlight w:val="none"/>
          <w:lang w:val="en-US" w:eastAsia="zh-CN"/>
        </w:rPr>
        <w:t>为主体的住房保障体系。</w:t>
      </w:r>
      <w:r>
        <w:rPr>
          <w:rFonts w:hint="eastAsia"/>
          <w:highlight w:val="none"/>
          <w:lang w:val="en-US" w:eastAsia="zh-CN"/>
        </w:rPr>
        <w:t>目前，</w:t>
      </w:r>
      <w:r>
        <w:rPr>
          <w:rFonts w:hint="default"/>
          <w:highlight w:val="none"/>
          <w:lang w:val="en-US" w:eastAsia="zh-CN"/>
        </w:rPr>
        <w:t>建设筹集各类保障性住房和棚户区、危旧房改造等安置性住房累计14余万套（间）</w:t>
      </w:r>
      <w:r>
        <w:rPr>
          <w:rFonts w:hint="eastAsia"/>
          <w:highlight w:val="none"/>
          <w:lang w:val="en-US" w:eastAsia="zh-CN"/>
        </w:rPr>
        <w:t>。</w:t>
      </w:r>
      <w:r>
        <w:rPr>
          <w:rFonts w:hint="eastAsia"/>
          <w:b/>
          <w:bCs/>
          <w:highlight w:val="none"/>
          <w:lang w:val="en-US" w:eastAsia="zh-CN"/>
        </w:rPr>
        <w:t>二是多渠道筹集保障性住房房源。</w:t>
      </w:r>
      <w:r>
        <w:rPr>
          <w:rFonts w:hint="eastAsia"/>
          <w:highlight w:val="none"/>
          <w:lang w:val="en-US" w:eastAsia="zh-CN"/>
        </w:rPr>
        <w:t>积极争取中央、省级财政保障性安居工程及配套资金7.1亿元。</w:t>
      </w:r>
      <w:r>
        <w:rPr>
          <w:rFonts w:hint="default"/>
          <w:highlight w:val="none"/>
          <w:lang w:val="en-US" w:eastAsia="zh-CN"/>
        </w:rPr>
        <w:t>盘活产业园区和企事业单位闲置存量土地，建设保障性租赁住房近1万套，有效缓解产业园区职工、教师医生等阶段性住房困难。</w:t>
      </w:r>
      <w:r>
        <w:rPr>
          <w:rFonts w:hint="eastAsia"/>
          <w:b/>
          <w:bCs/>
          <w:highlight w:val="none"/>
          <w:lang w:val="en-US" w:eastAsia="zh-CN"/>
        </w:rPr>
        <w:t>三是不断提高管理水平。</w:t>
      </w:r>
      <w:r>
        <w:rPr>
          <w:rFonts w:hint="default"/>
          <w:highlight w:val="none"/>
          <w:lang w:val="en-US" w:eastAsia="zh-CN"/>
        </w:rPr>
        <w:t>保障性租赁住房管理上，实现</w:t>
      </w:r>
      <w:r>
        <w:rPr>
          <w:rFonts w:hint="eastAsia"/>
          <w:highlight w:val="none"/>
          <w:lang w:val="en-US" w:eastAsia="zh-CN"/>
        </w:rPr>
        <w:t>“</w:t>
      </w:r>
      <w:r>
        <w:rPr>
          <w:rFonts w:hint="default"/>
          <w:highlight w:val="none"/>
          <w:lang w:val="en-US" w:eastAsia="zh-CN"/>
        </w:rPr>
        <w:t>一网通办</w:t>
      </w:r>
      <w:r>
        <w:rPr>
          <w:rFonts w:hint="eastAsia"/>
          <w:highlight w:val="none"/>
          <w:lang w:val="en-US" w:eastAsia="zh-CN"/>
        </w:rPr>
        <w:t>”</w:t>
      </w:r>
      <w:r>
        <w:rPr>
          <w:rFonts w:hint="default"/>
          <w:highlight w:val="none"/>
          <w:lang w:val="en-US" w:eastAsia="zh-CN"/>
        </w:rPr>
        <w:t>，让群众</w:t>
      </w:r>
      <w:r>
        <w:rPr>
          <w:rFonts w:hint="eastAsia"/>
          <w:highlight w:val="none"/>
          <w:lang w:val="en-US" w:eastAsia="zh-CN"/>
        </w:rPr>
        <w:t>“</w:t>
      </w:r>
      <w:r>
        <w:rPr>
          <w:rFonts w:hint="default"/>
          <w:highlight w:val="none"/>
          <w:lang w:val="en-US" w:eastAsia="zh-CN"/>
        </w:rPr>
        <w:t>少跑腿、快受益</w:t>
      </w:r>
      <w:r>
        <w:rPr>
          <w:rFonts w:hint="eastAsia"/>
          <w:highlight w:val="none"/>
          <w:lang w:val="en-US" w:eastAsia="zh-CN"/>
        </w:rPr>
        <w:t>”</w:t>
      </w:r>
      <w:r>
        <w:rPr>
          <w:rFonts w:hint="default"/>
          <w:highlight w:val="none"/>
          <w:lang w:val="en-US" w:eastAsia="zh-CN"/>
        </w:rPr>
        <w:t>。</w:t>
      </w:r>
    </w:p>
    <w:p w14:paraId="6DCD18EF">
      <w:pPr>
        <w:pStyle w:val="5"/>
        <w:bidi w:val="0"/>
        <w:rPr>
          <w:rFonts w:hint="default"/>
          <w:highlight w:val="none"/>
          <w:lang w:val="en-US" w:eastAsia="zh-CN"/>
        </w:rPr>
      </w:pPr>
      <w:bookmarkStart w:id="63" w:name="_Toc24078"/>
      <w:bookmarkStart w:id="64" w:name="_Toc22514"/>
      <w:bookmarkStart w:id="65" w:name="_Toc9177"/>
      <w:bookmarkStart w:id="66" w:name="_Toc22757"/>
      <w:bookmarkStart w:id="67" w:name="_Toc27732"/>
      <w:bookmarkStart w:id="68" w:name="_Toc19108"/>
      <w:bookmarkStart w:id="69" w:name="_Toc15463"/>
      <w:r>
        <w:rPr>
          <w:rFonts w:hint="eastAsia"/>
          <w:highlight w:val="none"/>
          <w:lang w:val="en-US" w:eastAsia="zh-CN"/>
        </w:rPr>
        <w:t>4.“好房子”建设取得积极效应。</w:t>
      </w:r>
      <w:bookmarkEnd w:id="63"/>
      <w:bookmarkEnd w:id="64"/>
      <w:bookmarkEnd w:id="65"/>
      <w:bookmarkEnd w:id="66"/>
      <w:bookmarkEnd w:id="67"/>
      <w:bookmarkEnd w:id="68"/>
      <w:bookmarkEnd w:id="69"/>
    </w:p>
    <w:p w14:paraId="70EB26C4">
      <w:pPr>
        <w:bidi w:val="0"/>
        <w:rPr>
          <w:rFonts w:hint="eastAsia"/>
          <w:b w:val="0"/>
          <w:bCs w:val="0"/>
          <w:highlight w:val="none"/>
          <w:lang w:val="en-US" w:eastAsia="zh-CN"/>
        </w:rPr>
      </w:pPr>
      <w:r>
        <w:rPr>
          <w:rFonts w:hint="eastAsia"/>
          <w:b/>
          <w:bCs/>
          <w:highlight w:val="none"/>
          <w:lang w:val="en-US" w:eastAsia="zh-CN"/>
        </w:rPr>
        <w:t>一是积极开展“好房子”试点。</w:t>
      </w:r>
      <w:r>
        <w:rPr>
          <w:rFonts w:hint="eastAsia"/>
          <w:b w:val="0"/>
          <w:bCs w:val="0"/>
          <w:highlight w:val="none"/>
          <w:lang w:val="en-US" w:eastAsia="zh-CN"/>
        </w:rPr>
        <w:t>引导房地产企业建设“安全、舒适、绿色、智慧”的好房子，推进绿色建筑和完整社区建设，推广新技术新工艺，完善教育、医疗、商服等配套，打造品质优良、功能完善的住宅项目，</w:t>
      </w:r>
      <w:r>
        <w:rPr>
          <w:rFonts w:hint="eastAsia"/>
          <w:highlight w:val="none"/>
        </w:rPr>
        <w:t>遴选12个“好房子”项目开展试点。</w:t>
      </w:r>
      <w:r>
        <w:rPr>
          <w:rFonts w:hint="eastAsia"/>
          <w:b/>
          <w:bCs/>
          <w:highlight w:val="none"/>
          <w:lang w:val="en-US" w:eastAsia="zh-CN"/>
        </w:rPr>
        <w:t>二是推动成立“好房子”联盟。</w:t>
      </w:r>
      <w:r>
        <w:rPr>
          <w:rFonts w:hint="eastAsia"/>
          <w:b w:val="0"/>
          <w:bCs w:val="0"/>
          <w:highlight w:val="none"/>
          <w:lang w:val="en-US" w:eastAsia="zh-CN"/>
        </w:rPr>
        <w:t>推动以市场化方式发起成立全省第一家“好房子”联盟，支持行业协会壮大“好房子”联盟，打造了一批“好房子”样板工程。三</w:t>
      </w:r>
      <w:r>
        <w:rPr>
          <w:rFonts w:hint="default"/>
          <w:b/>
          <w:bCs/>
          <w:highlight w:val="none"/>
          <w:lang w:val="en-US" w:eastAsia="zh-CN"/>
        </w:rPr>
        <w:t>是创新打造“3+1”急救保命体系</w:t>
      </w:r>
      <w:r>
        <w:rPr>
          <w:rFonts w:hint="default"/>
          <w:b w:val="0"/>
          <w:bCs w:val="0"/>
          <w:highlight w:val="none"/>
          <w:lang w:val="en-US" w:eastAsia="zh-CN"/>
        </w:rPr>
        <w:t>。</w:t>
      </w:r>
      <w:r>
        <w:rPr>
          <w:rFonts w:hint="default"/>
          <w:highlight w:val="none"/>
        </w:rPr>
        <w:t>依托三甲医院、社区卫生服务站、急救指挥中心搭建体系，打通社区3</w:t>
      </w:r>
      <w:r>
        <w:rPr>
          <w:rFonts w:hint="eastAsia"/>
          <w:highlight w:val="none"/>
          <w:lang w:eastAsia="zh-CN"/>
        </w:rPr>
        <w:t>—</w:t>
      </w:r>
      <w:r>
        <w:rPr>
          <w:rFonts w:hint="default"/>
          <w:highlight w:val="none"/>
        </w:rPr>
        <w:t>5分钟急救绿色通道，打造集急救、医疗、康养、生活服务于一体的首创示范样板</w:t>
      </w:r>
      <w:r>
        <w:rPr>
          <w:rFonts w:hint="eastAsia"/>
          <w:highlight w:val="none"/>
          <w:lang w:eastAsia="zh-CN"/>
        </w:rPr>
        <w:t>；</w:t>
      </w:r>
      <w:r>
        <w:rPr>
          <w:rFonts w:hint="default"/>
          <w:b w:val="0"/>
          <w:bCs w:val="0"/>
          <w:highlight w:val="none"/>
          <w:lang w:val="en-US" w:eastAsia="zh-CN"/>
        </w:rPr>
        <w:t>积极探索</w:t>
      </w:r>
      <w:r>
        <w:rPr>
          <w:rFonts w:hint="eastAsia"/>
          <w:b w:val="0"/>
          <w:bCs w:val="0"/>
          <w:highlight w:val="none"/>
          <w:lang w:val="en-US" w:eastAsia="zh-CN"/>
        </w:rPr>
        <w:t>“</w:t>
      </w:r>
      <w:r>
        <w:rPr>
          <w:rFonts w:hint="default"/>
          <w:b w:val="0"/>
          <w:bCs w:val="0"/>
          <w:highlight w:val="none"/>
          <w:lang w:val="en-US" w:eastAsia="zh-CN"/>
        </w:rPr>
        <w:t>急救保命+生活服务+中医康养</w:t>
      </w:r>
      <w:r>
        <w:rPr>
          <w:rFonts w:hint="eastAsia"/>
          <w:b w:val="0"/>
          <w:bCs w:val="0"/>
          <w:highlight w:val="none"/>
          <w:lang w:val="en-US" w:eastAsia="zh-CN"/>
        </w:rPr>
        <w:t>”</w:t>
      </w:r>
      <w:r>
        <w:rPr>
          <w:rFonts w:hint="default"/>
          <w:b w:val="0"/>
          <w:bCs w:val="0"/>
          <w:highlight w:val="none"/>
          <w:lang w:val="en-US" w:eastAsia="zh-CN"/>
        </w:rPr>
        <w:t>新型居家养老住房模式，启动建设5个试点</w:t>
      </w:r>
      <w:r>
        <w:rPr>
          <w:rFonts w:hint="eastAsia"/>
          <w:b w:val="0"/>
          <w:bCs w:val="0"/>
          <w:highlight w:val="none"/>
          <w:lang w:val="en-US" w:eastAsia="zh-CN"/>
        </w:rPr>
        <w:t>。</w:t>
      </w:r>
    </w:p>
    <w:p w14:paraId="4D299760">
      <w:pPr>
        <w:pStyle w:val="5"/>
        <w:bidi w:val="0"/>
        <w:rPr>
          <w:rFonts w:hint="default"/>
          <w:highlight w:val="none"/>
          <w:lang w:val="en-US" w:eastAsia="zh-CN"/>
        </w:rPr>
      </w:pPr>
      <w:bookmarkStart w:id="70" w:name="_Toc4966"/>
      <w:bookmarkStart w:id="71" w:name="_Toc22893"/>
      <w:bookmarkStart w:id="72" w:name="_Toc8217"/>
      <w:bookmarkStart w:id="73" w:name="_Toc14790"/>
      <w:bookmarkStart w:id="74" w:name="_Toc16452"/>
      <w:bookmarkStart w:id="75" w:name="_Toc5484"/>
      <w:r>
        <w:rPr>
          <w:rFonts w:hint="eastAsia"/>
          <w:highlight w:val="none"/>
          <w:lang w:val="en-US" w:eastAsia="zh-CN"/>
        </w:rPr>
        <w:t>5.物业服务和管理水平持续提升。</w:t>
      </w:r>
      <w:bookmarkEnd w:id="70"/>
      <w:bookmarkEnd w:id="71"/>
      <w:bookmarkEnd w:id="72"/>
      <w:bookmarkEnd w:id="73"/>
      <w:bookmarkEnd w:id="74"/>
      <w:bookmarkEnd w:id="75"/>
    </w:p>
    <w:p w14:paraId="5ECCB5F6">
      <w:pPr>
        <w:bidi w:val="0"/>
        <w:rPr>
          <w:rFonts w:hint="eastAsia"/>
          <w:b w:val="0"/>
          <w:bCs w:val="0"/>
          <w:highlight w:val="yellow"/>
          <w:lang w:val="en-US" w:eastAsia="zh-CN"/>
        </w:rPr>
      </w:pPr>
      <w:r>
        <w:rPr>
          <w:rFonts w:hint="eastAsia"/>
          <w:b/>
          <w:bCs/>
          <w:highlight w:val="none"/>
          <w:lang w:val="en-US" w:eastAsia="zh-CN"/>
        </w:rPr>
        <w:t>一是不断完善政策体系。</w:t>
      </w:r>
      <w:r>
        <w:rPr>
          <w:rFonts w:hint="eastAsia"/>
          <w:b w:val="0"/>
          <w:bCs w:val="0"/>
          <w:highlight w:val="none"/>
          <w:lang w:val="en-US" w:eastAsia="zh-CN"/>
        </w:rPr>
        <w:t>先后出台《住宅小区物业服务企业退出办法（试行）》《物业管理招标投标管理暂行办法》《城镇住宅物业服务规范化整治行动方案》等政策文件，桐柏县在全市率先出台了县级《物业管理办法》，物业管理制度不断健全。</w:t>
      </w:r>
      <w:r>
        <w:rPr>
          <w:rFonts w:hint="eastAsia"/>
          <w:b/>
          <w:bCs/>
          <w:highlight w:val="none"/>
          <w:lang w:val="en-US" w:eastAsia="zh-CN"/>
        </w:rPr>
        <w:t>二是持续完善监管体系。</w:t>
      </w:r>
      <w:r>
        <w:rPr>
          <w:rFonts w:hint="eastAsia"/>
          <w:b w:val="0"/>
          <w:bCs w:val="0"/>
          <w:highlight w:val="none"/>
          <w:lang w:val="en-US" w:eastAsia="zh-CN"/>
        </w:rPr>
        <w:t>遴选组建住宅物业服务质量评估专家委员会，开展企业信用等级评估，构建“源头规范、过程严管、末端清退、基础夯实”的全链条监管机制。</w:t>
      </w:r>
      <w:r>
        <w:rPr>
          <w:rFonts w:hint="eastAsia"/>
          <w:b/>
          <w:bCs/>
          <w:highlight w:val="none"/>
          <w:lang w:val="en-US" w:eastAsia="zh-CN"/>
        </w:rPr>
        <w:t>三是完善物业服务诉求响应机制。</w:t>
      </w:r>
      <w:r>
        <w:rPr>
          <w:rFonts w:hint="eastAsia"/>
          <w:b w:val="0"/>
          <w:bCs w:val="0"/>
          <w:highlight w:val="none"/>
          <w:lang w:val="en-US" w:eastAsia="zh-CN"/>
        </w:rPr>
        <w:t>构建“信访网电”立体投诉网络，受理问题2.1万余条。</w:t>
      </w:r>
    </w:p>
    <w:p w14:paraId="5CF317FC">
      <w:pPr>
        <w:pStyle w:val="5"/>
        <w:bidi w:val="0"/>
        <w:rPr>
          <w:rFonts w:hint="default"/>
          <w:highlight w:val="none"/>
          <w:lang w:val="en-US" w:eastAsia="zh-CN"/>
        </w:rPr>
      </w:pPr>
      <w:bookmarkStart w:id="76" w:name="_Toc5291"/>
      <w:bookmarkStart w:id="77" w:name="_Toc7675"/>
      <w:bookmarkStart w:id="78" w:name="_Toc15000"/>
      <w:bookmarkStart w:id="79" w:name="_Toc31813"/>
      <w:bookmarkStart w:id="80" w:name="_Toc11679"/>
      <w:bookmarkStart w:id="81" w:name="_Toc7396"/>
      <w:r>
        <w:rPr>
          <w:rFonts w:hint="eastAsia"/>
          <w:highlight w:val="none"/>
          <w:lang w:val="en-US" w:eastAsia="zh-CN"/>
        </w:rPr>
        <w:t>6.居住区更新改造稳步推进</w:t>
      </w:r>
      <w:bookmarkEnd w:id="76"/>
      <w:bookmarkEnd w:id="77"/>
      <w:r>
        <w:rPr>
          <w:rFonts w:hint="eastAsia"/>
          <w:highlight w:val="none"/>
          <w:lang w:val="en-US" w:eastAsia="zh-CN"/>
        </w:rPr>
        <w:t>。</w:t>
      </w:r>
      <w:bookmarkEnd w:id="78"/>
      <w:bookmarkEnd w:id="79"/>
      <w:bookmarkEnd w:id="80"/>
      <w:bookmarkEnd w:id="81"/>
    </w:p>
    <w:p w14:paraId="54AC5E7F">
      <w:pPr>
        <w:bidi w:val="0"/>
        <w:rPr>
          <w:rFonts w:hint="eastAsia"/>
          <w:b w:val="0"/>
          <w:bCs w:val="0"/>
          <w:highlight w:val="yellow"/>
          <w:lang w:val="en-US" w:eastAsia="zh-CN"/>
        </w:rPr>
      </w:pPr>
      <w:r>
        <w:rPr>
          <w:rFonts w:hint="eastAsia"/>
          <w:b/>
          <w:bCs/>
          <w:highlight w:val="none"/>
          <w:lang w:val="en-US" w:eastAsia="zh-CN"/>
        </w:rPr>
        <w:t>一是</w:t>
      </w:r>
      <w:r>
        <w:rPr>
          <w:rFonts w:hint="default"/>
          <w:b/>
          <w:bCs/>
          <w:highlight w:val="none"/>
          <w:lang w:val="en-US" w:eastAsia="zh-CN"/>
        </w:rPr>
        <w:t>更新改造稳步推进。</w:t>
      </w:r>
      <w:r>
        <w:rPr>
          <w:rFonts w:hint="eastAsia"/>
          <w:b w:val="0"/>
          <w:bCs w:val="0"/>
          <w:highlight w:val="none"/>
          <w:lang w:val="en-US" w:eastAsia="zh-CN"/>
        </w:rPr>
        <w:t>“十四五”期间累计</w:t>
      </w:r>
      <w:r>
        <w:rPr>
          <w:rFonts w:hint="default"/>
          <w:highlight w:val="none"/>
        </w:rPr>
        <w:t>改造1714个小区、1531.3万平方米</w:t>
      </w:r>
      <w:r>
        <w:rPr>
          <w:rFonts w:hint="default"/>
          <w:b w:val="0"/>
          <w:bCs w:val="0"/>
          <w:highlight w:val="none"/>
          <w:lang w:val="en-US" w:eastAsia="zh-CN"/>
        </w:rPr>
        <w:t>，实施危旧房改造3150套（间），争取中央及省级补助资金、专项债额度32.07亿元，争取资金位居全省前列。</w:t>
      </w:r>
      <w:r>
        <w:rPr>
          <w:rFonts w:hint="eastAsia"/>
          <w:b/>
          <w:bCs/>
          <w:highlight w:val="none"/>
          <w:lang w:val="en-US" w:eastAsia="zh-CN"/>
        </w:rPr>
        <w:t>二</w:t>
      </w:r>
      <w:r>
        <w:rPr>
          <w:rFonts w:hint="default"/>
          <w:b/>
          <w:bCs/>
          <w:highlight w:val="none"/>
          <w:lang w:val="en-US" w:eastAsia="zh-CN"/>
        </w:rPr>
        <w:t>是扎实推进城中村改造。</w:t>
      </w:r>
      <w:r>
        <w:rPr>
          <w:rFonts w:hint="default"/>
          <w:highlight w:val="none"/>
          <w:lang w:val="en-US" w:eastAsia="zh-CN"/>
        </w:rPr>
        <w:t>累计改造居民14.77万户，显著改善居民居住环境。</w:t>
      </w:r>
    </w:p>
    <w:p w14:paraId="0E8D781E">
      <w:pPr>
        <w:pStyle w:val="4"/>
        <w:bidi w:val="0"/>
        <w:rPr>
          <w:rFonts w:hint="eastAsia"/>
          <w:highlight w:val="none"/>
          <w:lang w:val="en-US" w:eastAsia="zh-CN"/>
        </w:rPr>
      </w:pPr>
      <w:bookmarkStart w:id="82" w:name="_Toc16612"/>
      <w:bookmarkStart w:id="83" w:name="_Toc9322"/>
      <w:bookmarkStart w:id="84" w:name="_Toc31891"/>
      <w:bookmarkStart w:id="85" w:name="_Toc21655"/>
      <w:bookmarkStart w:id="86" w:name="_Toc22006"/>
      <w:bookmarkStart w:id="87" w:name="_Toc26399"/>
      <w:bookmarkStart w:id="88" w:name="_Toc16643"/>
      <w:bookmarkStart w:id="89" w:name="_Toc18582"/>
      <w:bookmarkStart w:id="90" w:name="_Toc11397"/>
      <w:bookmarkStart w:id="91" w:name="_Toc29188"/>
      <w:bookmarkStart w:id="92" w:name="_Toc8691"/>
      <w:bookmarkStart w:id="93" w:name="_Toc10111"/>
      <w:bookmarkStart w:id="94" w:name="_Toc957"/>
      <w:bookmarkStart w:id="95" w:name="_Toc10863"/>
      <w:bookmarkStart w:id="96" w:name="_Toc24098"/>
      <w:bookmarkStart w:id="97" w:name="_Toc967"/>
      <w:bookmarkStart w:id="98" w:name="_Toc21554"/>
      <w:bookmarkStart w:id="99" w:name="_Toc12943"/>
      <w:bookmarkStart w:id="100" w:name="_Toc8847"/>
      <w:bookmarkStart w:id="101" w:name="_Toc23203"/>
      <w:bookmarkStart w:id="102" w:name="_Toc29789"/>
      <w:r>
        <w:rPr>
          <w:rFonts w:hint="eastAsia"/>
          <w:highlight w:val="none"/>
          <w:lang w:val="en-US" w:eastAsia="zh-CN"/>
        </w:rPr>
        <w:t>（二）存在问题</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0037D4D">
      <w:pPr>
        <w:bidi w:val="0"/>
        <w:ind w:firstLine="0"/>
        <w:rPr>
          <w:rFonts w:hint="default"/>
          <w:highlight w:val="none"/>
          <w:lang w:eastAsia="zh-CN"/>
        </w:rPr>
      </w:pPr>
      <w:bookmarkStart w:id="103" w:name="_Toc17028"/>
      <w:r>
        <w:rPr>
          <w:rFonts w:hint="default"/>
          <w:highlight w:val="none"/>
        </w:rPr>
        <w:t>常住人口</w:t>
      </w:r>
      <w:r>
        <w:rPr>
          <w:rFonts w:hint="eastAsia"/>
          <w:highlight w:val="none"/>
          <w:lang w:val="en-US" w:eastAsia="zh-CN"/>
        </w:rPr>
        <w:t>规模持续下降</w:t>
      </w:r>
      <w:r>
        <w:rPr>
          <w:rFonts w:hint="default"/>
          <w:highlight w:val="none"/>
        </w:rPr>
        <w:t>，</w:t>
      </w:r>
      <w:r>
        <w:rPr>
          <w:rFonts w:hint="eastAsia"/>
          <w:highlight w:val="none"/>
          <w:lang w:val="en-US" w:eastAsia="zh-CN"/>
        </w:rPr>
        <w:t>住房自有率逐步提升，以及本地初婚初育</w:t>
      </w:r>
      <w:r>
        <w:rPr>
          <w:rFonts w:hint="default"/>
          <w:highlight w:val="none"/>
        </w:rPr>
        <w:t>、入学需求收缩，传统</w:t>
      </w:r>
      <w:r>
        <w:rPr>
          <w:rFonts w:hint="eastAsia"/>
          <w:highlight w:val="none"/>
          <w:lang w:val="en-US" w:eastAsia="zh-CN"/>
        </w:rPr>
        <w:t>本地</w:t>
      </w:r>
      <w:r>
        <w:rPr>
          <w:rFonts w:hint="default"/>
          <w:highlight w:val="none"/>
        </w:rPr>
        <w:t>住房需求</w:t>
      </w:r>
      <w:r>
        <w:rPr>
          <w:rFonts w:hint="eastAsia"/>
          <w:highlight w:val="none"/>
          <w:lang w:val="en-US" w:eastAsia="zh-CN"/>
        </w:rPr>
        <w:t>有所减少</w:t>
      </w:r>
      <w:r>
        <w:rPr>
          <w:rFonts w:hint="default"/>
          <w:highlight w:val="none"/>
          <w:lang w:eastAsia="zh-CN"/>
        </w:rPr>
        <w:t>；</w:t>
      </w:r>
      <w:r>
        <w:rPr>
          <w:rFonts w:hint="eastAsia"/>
          <w:highlight w:val="none"/>
          <w:lang w:val="en-US" w:eastAsia="zh-CN"/>
        </w:rPr>
        <w:t>人口外流现象较为突出</w:t>
      </w:r>
      <w:r>
        <w:rPr>
          <w:rFonts w:hint="default"/>
          <w:highlight w:val="none"/>
        </w:rPr>
        <w:t>，在投资属性弱化的市场环境下</w:t>
      </w:r>
      <w:r>
        <w:rPr>
          <w:rFonts w:hint="default"/>
          <w:highlight w:val="none"/>
          <w:lang w:eastAsia="zh-CN"/>
        </w:rPr>
        <w:t>，</w:t>
      </w:r>
      <w:r>
        <w:rPr>
          <w:rFonts w:hint="eastAsia"/>
          <w:highlight w:val="none"/>
          <w:lang w:val="en-US" w:eastAsia="zh-CN"/>
        </w:rPr>
        <w:t>外出务工家庭返乡置业</w:t>
      </w:r>
      <w:r>
        <w:rPr>
          <w:rFonts w:hint="default"/>
          <w:highlight w:val="none"/>
        </w:rPr>
        <w:t>决策更加审慎，潜在需求转化节奏放缓。</w:t>
      </w:r>
      <w:r>
        <w:rPr>
          <w:rFonts w:hint="eastAsia"/>
          <w:highlight w:val="none"/>
          <w:lang w:val="en-US" w:eastAsia="zh-CN"/>
        </w:rPr>
        <w:t>城市对</w:t>
      </w:r>
      <w:r>
        <w:rPr>
          <w:rFonts w:hint="default"/>
          <w:highlight w:val="none"/>
        </w:rPr>
        <w:t>外来人口的持续集聚能力相对</w:t>
      </w:r>
      <w:r>
        <w:rPr>
          <w:rFonts w:hint="eastAsia"/>
          <w:highlight w:val="none"/>
          <w:lang w:val="en-US" w:eastAsia="zh-CN"/>
        </w:rPr>
        <w:t>不足</w:t>
      </w:r>
      <w:r>
        <w:rPr>
          <w:rFonts w:hint="default"/>
          <w:highlight w:val="none"/>
          <w:lang w:eastAsia="zh-CN"/>
        </w:rPr>
        <w:t>，</w:t>
      </w:r>
      <w:r>
        <w:rPr>
          <w:rFonts w:hint="default"/>
          <w:highlight w:val="none"/>
        </w:rPr>
        <w:t>外生购房需求对市场的支撑作用趋于减弱</w:t>
      </w:r>
      <w:bookmarkEnd w:id="103"/>
      <w:r>
        <w:rPr>
          <w:rFonts w:hint="default"/>
          <w:highlight w:val="none"/>
        </w:rPr>
        <w:t>。</w:t>
      </w:r>
      <w:r>
        <w:rPr>
          <w:rFonts w:hint="eastAsia"/>
          <w:highlight w:val="none"/>
          <w:lang w:val="en-US" w:eastAsia="zh-CN"/>
        </w:rPr>
        <w:t>同时，</w:t>
      </w:r>
      <w:r>
        <w:rPr>
          <w:rFonts w:hint="default"/>
          <w:highlight w:val="none"/>
        </w:rPr>
        <w:t>二手住房</w:t>
      </w:r>
      <w:r>
        <w:rPr>
          <w:rFonts w:hint="eastAsia"/>
          <w:highlight w:val="none"/>
          <w:lang w:val="en-US" w:eastAsia="zh-CN"/>
        </w:rPr>
        <w:t>供给</w:t>
      </w:r>
      <w:r>
        <w:rPr>
          <w:rFonts w:hint="default"/>
          <w:highlight w:val="none"/>
        </w:rPr>
        <w:t>持续增长，</w:t>
      </w:r>
      <w:r>
        <w:rPr>
          <w:rFonts w:hint="eastAsia"/>
          <w:highlight w:val="none"/>
          <w:lang w:val="en-US" w:eastAsia="zh-CN"/>
        </w:rPr>
        <w:t>一定程度分流新建商品住房购房需求。从区域来看，</w:t>
      </w:r>
      <w:r>
        <w:rPr>
          <w:rFonts w:hint="default"/>
          <w:highlight w:val="none"/>
        </w:rPr>
        <w:t>中心城区</w:t>
      </w:r>
      <w:r>
        <w:rPr>
          <w:rFonts w:hint="eastAsia"/>
          <w:highlight w:val="none"/>
          <w:lang w:val="en-US" w:eastAsia="zh-CN"/>
        </w:rPr>
        <w:t>对本市农业转移人口的吸引力减弱</w:t>
      </w:r>
      <w:r>
        <w:rPr>
          <w:rFonts w:hint="default"/>
          <w:highlight w:val="none"/>
        </w:rPr>
        <w:t>，新城区公共服务滞后，住房需求</w:t>
      </w:r>
      <w:r>
        <w:rPr>
          <w:rFonts w:hint="eastAsia"/>
          <w:highlight w:val="none"/>
          <w:lang w:val="en-US" w:eastAsia="zh-CN"/>
        </w:rPr>
        <w:t>从</w:t>
      </w:r>
      <w:r>
        <w:rPr>
          <w:rFonts w:hint="default"/>
          <w:highlight w:val="none"/>
        </w:rPr>
        <w:t>老城区向</w:t>
      </w:r>
      <w:r>
        <w:rPr>
          <w:rFonts w:hint="eastAsia"/>
          <w:highlight w:val="none"/>
          <w:lang w:val="en-US" w:eastAsia="zh-CN"/>
        </w:rPr>
        <w:t>外疏解不足</w:t>
      </w:r>
      <w:r>
        <w:rPr>
          <w:rFonts w:hint="default"/>
          <w:highlight w:val="none"/>
          <w:lang w:eastAsia="zh-CN"/>
        </w:rPr>
        <w:t>，</w:t>
      </w:r>
      <w:r>
        <w:rPr>
          <w:rFonts w:hint="eastAsia"/>
          <w:highlight w:val="none"/>
          <w:lang w:val="en-US" w:eastAsia="zh-CN"/>
        </w:rPr>
        <w:t>城市住房承载力和宜居度仍须提升。</w:t>
      </w:r>
      <w:r>
        <w:rPr>
          <w:rFonts w:hint="default"/>
          <w:highlight w:val="none"/>
        </w:rPr>
        <w:t>截至202</w:t>
      </w:r>
      <w:r>
        <w:rPr>
          <w:rFonts w:hint="eastAsia"/>
          <w:highlight w:val="none"/>
          <w:lang w:val="en-US" w:eastAsia="zh-CN"/>
        </w:rPr>
        <w:t>5</w:t>
      </w:r>
      <w:r>
        <w:rPr>
          <w:rFonts w:hint="default"/>
          <w:highlight w:val="none"/>
        </w:rPr>
        <w:t>年底，全市新建商品住宅库存645.9万平方米，</w:t>
      </w:r>
      <w:r>
        <w:rPr>
          <w:rFonts w:hint="eastAsia"/>
          <w:highlight w:val="none"/>
          <w:lang w:val="en-US" w:eastAsia="zh-CN"/>
        </w:rPr>
        <w:t>其中</w:t>
      </w:r>
      <w:r>
        <w:rPr>
          <w:rFonts w:hint="default"/>
          <w:highlight w:val="none"/>
          <w:lang w:eastAsia="zh-CN"/>
        </w:rPr>
        <w:t>中心城区商品住房库存360.02万平方米</w:t>
      </w:r>
      <w:r>
        <w:rPr>
          <w:rFonts w:hint="default"/>
          <w:highlight w:val="none"/>
          <w:lang w:eastAsia="zh-CN"/>
        </w:rPr>
        <w:t>，</w:t>
      </w:r>
      <w:r>
        <w:rPr>
          <w:rFonts w:hint="eastAsia"/>
          <w:highlight w:val="none"/>
          <w:lang w:val="en-US" w:eastAsia="zh-CN"/>
        </w:rPr>
        <w:t>叠加存量住宅用地规模，当前房地产市场库存仍然偏高，去库存压力较大</w:t>
      </w:r>
      <w:r>
        <w:rPr>
          <w:rFonts w:hint="default"/>
          <w:highlight w:val="none"/>
          <w:lang w:eastAsia="zh-CN"/>
        </w:rPr>
        <w:t>。</w:t>
      </w:r>
    </w:p>
    <w:p w14:paraId="5BFA047C">
      <w:pPr>
        <w:pStyle w:val="4"/>
        <w:bidi w:val="0"/>
        <w:rPr>
          <w:rFonts w:hint="eastAsia"/>
          <w:highlight w:val="none"/>
          <w:lang w:val="en-US" w:eastAsia="zh-CN"/>
        </w:rPr>
      </w:pPr>
      <w:bookmarkStart w:id="104" w:name="_Toc30026"/>
      <w:bookmarkStart w:id="105" w:name="_Toc3241"/>
      <w:bookmarkStart w:id="106" w:name="_Toc30602"/>
      <w:bookmarkStart w:id="107" w:name="_Toc4748"/>
      <w:bookmarkStart w:id="108" w:name="_Toc28280"/>
      <w:bookmarkStart w:id="109" w:name="_Toc10860"/>
      <w:bookmarkStart w:id="110" w:name="_Toc25410"/>
      <w:bookmarkStart w:id="111" w:name="_Toc15443"/>
      <w:bookmarkStart w:id="112" w:name="_Toc27397"/>
      <w:bookmarkStart w:id="113" w:name="_Toc18018"/>
      <w:bookmarkStart w:id="114" w:name="_Toc28427"/>
      <w:bookmarkStart w:id="115" w:name="_Toc4513"/>
      <w:bookmarkStart w:id="116" w:name="_Toc2975"/>
      <w:bookmarkStart w:id="117" w:name="_Toc21257"/>
      <w:r>
        <w:rPr>
          <w:rFonts w:hint="eastAsia"/>
          <w:highlight w:val="none"/>
          <w:lang w:val="en-US" w:eastAsia="zh-CN"/>
        </w:rPr>
        <w:t>（三）发展形势</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6E921FF">
      <w:pPr>
        <w:pStyle w:val="5"/>
        <w:bidi w:val="0"/>
        <w:rPr>
          <w:rFonts w:hint="eastAsia"/>
          <w:b/>
          <w:bCs/>
          <w:highlight w:val="none"/>
          <w:lang w:val="en-US" w:eastAsia="zh-CN"/>
        </w:rPr>
      </w:pPr>
      <w:bookmarkStart w:id="118" w:name="_Toc30590"/>
      <w:bookmarkStart w:id="119" w:name="_Toc29913"/>
      <w:bookmarkStart w:id="120" w:name="_Toc5384"/>
      <w:bookmarkStart w:id="121" w:name="_Toc28837"/>
      <w:bookmarkStart w:id="122" w:name="_Toc23175"/>
      <w:bookmarkStart w:id="123" w:name="_Toc18365"/>
      <w:r>
        <w:rPr>
          <w:rFonts w:hint="eastAsia"/>
          <w:b/>
          <w:bCs/>
          <w:highlight w:val="none"/>
          <w:lang w:val="en-US" w:eastAsia="zh-CN"/>
        </w:rPr>
        <w:t>1.省域副中心城市建设持续为住房发展注入动力。</w:t>
      </w:r>
      <w:bookmarkEnd w:id="118"/>
      <w:bookmarkEnd w:id="119"/>
      <w:bookmarkEnd w:id="120"/>
      <w:bookmarkEnd w:id="121"/>
      <w:bookmarkEnd w:id="122"/>
      <w:bookmarkEnd w:id="123"/>
    </w:p>
    <w:p w14:paraId="3B476604">
      <w:pPr>
        <w:bidi w:val="0"/>
        <w:rPr>
          <w:rFonts w:hint="default"/>
          <w:highlight w:val="none"/>
          <w:lang w:val="en-US" w:eastAsia="zh-CN"/>
        </w:rPr>
      </w:pPr>
      <w:r>
        <w:rPr>
          <w:rFonts w:hint="default"/>
          <w:highlight w:val="none"/>
          <w:lang w:val="en-US" w:eastAsia="zh-CN"/>
        </w:rPr>
        <w:t>作为河南省省域副中心城市，南阳市肩</w:t>
      </w:r>
      <w:r>
        <w:rPr>
          <w:rFonts w:hint="eastAsia"/>
          <w:highlight w:val="none"/>
          <w:lang w:val="en-US" w:eastAsia="zh-CN"/>
        </w:rPr>
        <w:t>负着</w:t>
      </w:r>
      <w:r>
        <w:rPr>
          <w:rFonts w:hint="default"/>
          <w:highlight w:val="none"/>
          <w:lang w:val="en-US" w:eastAsia="zh-CN"/>
        </w:rPr>
        <w:t>提升全省面向全国综合开放辐射能力、推动高效生态经济产业发展、强化豫南城镇群中心城市功能、促进豫鄂陕省际区域协同发展等职能。伴随农业转移人口市民化进程加快，居民居住及相关消费需求将持续释放，为住房市场发展带来长期支撑。</w:t>
      </w:r>
      <w:r>
        <w:rPr>
          <w:rFonts w:hint="default"/>
          <w:highlight w:val="none"/>
        </w:rPr>
        <w:t>南阳发展禀赋优越，人口规模大、产业体系完备、交通便利、生态和人文条件良好，为住房需求增长提供坚实基础。随着基础设施建设和产业转型项目加速推进，以及省委、省政府支持南阳建设省域副中心城市的政策利好不断释放，</w:t>
      </w:r>
      <w:r>
        <w:rPr>
          <w:rFonts w:hint="eastAsia"/>
          <w:highlight w:val="none"/>
          <w:lang w:val="en-US" w:eastAsia="zh-CN"/>
        </w:rPr>
        <w:t>为住房发展提供有力支撑</w:t>
      </w:r>
      <w:r>
        <w:rPr>
          <w:rFonts w:hint="default"/>
          <w:highlight w:val="none"/>
        </w:rPr>
        <w:t>。</w:t>
      </w:r>
    </w:p>
    <w:p w14:paraId="5DB751F5">
      <w:pPr>
        <w:pStyle w:val="5"/>
        <w:bidi w:val="0"/>
        <w:rPr>
          <w:rFonts w:hint="eastAsia"/>
          <w:b/>
          <w:bCs/>
          <w:highlight w:val="none"/>
          <w:lang w:val="en-US" w:eastAsia="zh-CN"/>
        </w:rPr>
      </w:pPr>
      <w:bookmarkStart w:id="124" w:name="_Toc27451"/>
      <w:bookmarkStart w:id="125" w:name="_Toc9634"/>
      <w:bookmarkStart w:id="126" w:name="_Toc17756"/>
      <w:bookmarkStart w:id="127" w:name="_Toc17140"/>
      <w:bookmarkStart w:id="128" w:name="_Toc20195"/>
      <w:bookmarkStart w:id="129" w:name="_Toc10590"/>
      <w:r>
        <w:rPr>
          <w:rFonts w:hint="eastAsia"/>
          <w:b/>
          <w:bCs/>
          <w:highlight w:val="none"/>
          <w:lang w:val="en-US" w:eastAsia="zh-CN"/>
        </w:rPr>
        <w:t>2.深入推进新型城镇化促进住房需求持续释放。</w:t>
      </w:r>
      <w:bookmarkEnd w:id="124"/>
      <w:bookmarkEnd w:id="125"/>
      <w:bookmarkEnd w:id="126"/>
      <w:bookmarkEnd w:id="127"/>
      <w:bookmarkEnd w:id="128"/>
      <w:bookmarkEnd w:id="129"/>
    </w:p>
    <w:p w14:paraId="5B7105C5">
      <w:pPr>
        <w:bidi w:val="0"/>
        <w:ind w:firstLine="640"/>
        <w:rPr>
          <w:rFonts w:hint="default"/>
          <w:highlight w:val="none"/>
          <w:lang w:val="en-US" w:eastAsia="zh-CN"/>
        </w:rPr>
      </w:pPr>
      <w:r>
        <w:rPr>
          <w:rFonts w:hint="default"/>
          <w:highlight w:val="none"/>
          <w:lang w:val="en-US" w:eastAsia="zh-CN"/>
        </w:rPr>
        <w:t>南阳市人口总量大，2023年末全市户籍人口达1227万人，2024年末常住人口为945.4万人，城镇化率为54.17%</w:t>
      </w:r>
      <w:r>
        <w:rPr>
          <w:rFonts w:hint="eastAsia"/>
          <w:highlight w:val="none"/>
          <w:lang w:val="en-US" w:eastAsia="zh-CN"/>
        </w:rPr>
        <w:t>。</w:t>
      </w:r>
      <w:r>
        <w:rPr>
          <w:rFonts w:hint="default"/>
          <w:highlight w:val="none"/>
          <w:lang w:val="en-US" w:eastAsia="zh-CN"/>
        </w:rPr>
        <w:t>根据《南阳市新型城镇化规划（2021</w:t>
      </w:r>
      <w:r>
        <w:rPr>
          <w:rFonts w:hint="eastAsia"/>
          <w:highlight w:val="none"/>
          <w:lang w:val="en-US" w:eastAsia="zh-CN"/>
        </w:rPr>
        <w:t>—</w:t>
      </w:r>
      <w:r>
        <w:rPr>
          <w:rFonts w:hint="default"/>
          <w:highlight w:val="none"/>
          <w:lang w:val="en-US" w:eastAsia="zh-CN"/>
        </w:rPr>
        <w:t>2035年）》，2035年</w:t>
      </w:r>
      <w:r>
        <w:rPr>
          <w:rFonts w:hint="eastAsia"/>
          <w:highlight w:val="none"/>
          <w:lang w:val="en-US" w:eastAsia="zh-CN"/>
        </w:rPr>
        <w:t>南阳市</w:t>
      </w:r>
      <w:r>
        <w:rPr>
          <w:rFonts w:hint="default"/>
          <w:highlight w:val="none"/>
          <w:lang w:val="en-US" w:eastAsia="zh-CN"/>
        </w:rPr>
        <w:t>城镇化率预计达到72%左右</w:t>
      </w:r>
      <w:r>
        <w:rPr>
          <w:rFonts w:hint="eastAsia"/>
          <w:highlight w:val="none"/>
          <w:lang w:val="en-US" w:eastAsia="zh-CN"/>
        </w:rPr>
        <w:t>，</w:t>
      </w:r>
      <w:r>
        <w:rPr>
          <w:rFonts w:hint="default"/>
          <w:highlight w:val="none"/>
          <w:lang w:val="en-US" w:eastAsia="zh-CN"/>
        </w:rPr>
        <w:t>仍具有较大增长潜力。</w:t>
      </w:r>
      <w:r>
        <w:rPr>
          <w:rFonts w:hint="eastAsia" w:cs="仿宋_GB2312"/>
          <w:bCs/>
          <w:color w:val="000000"/>
          <w:szCs w:val="32"/>
          <w:highlight w:val="none"/>
        </w:rPr>
        <w:t>南阳推进</w:t>
      </w:r>
      <w:r>
        <w:rPr>
          <w:rFonts w:hint="eastAsia" w:cs="仿宋_GB2312"/>
          <w:bCs/>
          <w:color w:val="000000"/>
          <w:szCs w:val="32"/>
          <w:highlight w:val="none"/>
          <w:lang w:eastAsia="zh-CN"/>
        </w:rPr>
        <w:t>“</w:t>
      </w:r>
      <w:r>
        <w:rPr>
          <w:rFonts w:hint="eastAsia" w:cs="仿宋_GB2312"/>
          <w:bCs/>
          <w:color w:val="000000"/>
          <w:szCs w:val="32"/>
          <w:highlight w:val="none"/>
        </w:rPr>
        <w:t>7+17</w:t>
      </w:r>
      <w:r>
        <w:rPr>
          <w:rFonts w:hint="eastAsia" w:cs="仿宋_GB2312"/>
          <w:bCs/>
          <w:color w:val="000000"/>
          <w:szCs w:val="32"/>
          <w:highlight w:val="none"/>
          <w:lang w:eastAsia="zh-CN"/>
        </w:rPr>
        <w:t>”</w:t>
      </w:r>
      <w:r>
        <w:rPr>
          <w:rFonts w:hint="eastAsia" w:cs="仿宋_GB2312"/>
          <w:bCs/>
          <w:color w:val="000000"/>
          <w:szCs w:val="32"/>
          <w:highlight w:val="none"/>
        </w:rPr>
        <w:t>产业链建设，产业发展带动就业和人口集聚，推动新市民、青年人才及产业园区工作人员住房需求增长。</w:t>
      </w:r>
    </w:p>
    <w:p w14:paraId="5FD6204C">
      <w:pPr>
        <w:pStyle w:val="5"/>
        <w:bidi w:val="0"/>
        <w:rPr>
          <w:rFonts w:hint="eastAsia"/>
          <w:b/>
          <w:bCs/>
          <w:highlight w:val="none"/>
          <w:lang w:val="en-US" w:eastAsia="zh-CN"/>
        </w:rPr>
      </w:pPr>
      <w:bookmarkStart w:id="130" w:name="_Toc10159"/>
      <w:bookmarkStart w:id="131" w:name="_Toc10284"/>
      <w:bookmarkStart w:id="132" w:name="_Toc7563"/>
      <w:bookmarkStart w:id="133" w:name="_Toc14498"/>
      <w:bookmarkStart w:id="134" w:name="_Toc28517"/>
      <w:bookmarkStart w:id="135" w:name="_Toc32344"/>
      <w:r>
        <w:rPr>
          <w:rFonts w:hint="eastAsia"/>
          <w:b/>
          <w:bCs/>
          <w:highlight w:val="none"/>
          <w:lang w:val="en-US" w:eastAsia="zh-CN"/>
        </w:rPr>
        <w:t>3.多样化住房消费兴起带来产业新增长空间。</w:t>
      </w:r>
      <w:bookmarkEnd w:id="130"/>
      <w:bookmarkEnd w:id="131"/>
      <w:bookmarkEnd w:id="132"/>
      <w:bookmarkEnd w:id="133"/>
      <w:bookmarkEnd w:id="134"/>
      <w:bookmarkEnd w:id="135"/>
    </w:p>
    <w:p w14:paraId="2A71393D">
      <w:pPr>
        <w:pStyle w:val="2"/>
        <w:rPr>
          <w:rFonts w:hint="eastAsia"/>
          <w:lang w:val="en-US" w:eastAsia="zh-CN"/>
        </w:rPr>
      </w:pPr>
      <w:r>
        <w:rPr>
          <w:rFonts w:hint="eastAsia"/>
          <w:highlight w:val="none"/>
          <w:lang w:val="en-US" w:eastAsia="zh-CN"/>
        </w:rPr>
        <w:t>近年来，南阳市城镇人口、家庭结构和住房需求发生了较大的变化。随着家庭小型化和一人户增多，新市民与年轻人租房需求增加、“长租时代”到来，刚需群体逐渐向租赁和二手住房转移，低总价、低单价二手住房交易占比提升，新建商品住房更多满足改善性需求，主力户型向100-140平方米转移。住房消费呈现梯度化、多层次循环趋势，存量房可盘活为租赁、安置或宿舍，“租转买”、刚需与改善、新房与二手房、品质提升与人口增加的循环模式逐步形成，</w:t>
      </w:r>
      <w:r>
        <w:rPr>
          <w:rFonts w:hint="eastAsia" w:cs="仿宋_GB2312"/>
          <w:bCs/>
          <w:color w:val="000000"/>
          <w:szCs w:val="32"/>
          <w:highlight w:val="none"/>
          <w:lang w:val="en-US" w:eastAsia="zh-CN"/>
        </w:rPr>
        <w:t>未来</w:t>
      </w:r>
      <w:r>
        <w:rPr>
          <w:rFonts w:hint="eastAsia" w:cs="仿宋_GB2312"/>
          <w:bCs/>
          <w:color w:val="000000"/>
          <w:szCs w:val="32"/>
          <w:highlight w:val="none"/>
        </w:rPr>
        <w:t>住房需求从</w:t>
      </w:r>
      <w:r>
        <w:rPr>
          <w:rFonts w:hint="eastAsia" w:cs="仿宋_GB2312"/>
          <w:bCs/>
          <w:color w:val="000000"/>
          <w:szCs w:val="32"/>
          <w:highlight w:val="none"/>
          <w:lang w:val="en-US" w:eastAsia="zh-CN"/>
        </w:rPr>
        <w:t>规模增长转向</w:t>
      </w:r>
      <w:r>
        <w:rPr>
          <w:rFonts w:hint="eastAsia" w:cs="仿宋_GB2312"/>
          <w:bCs/>
          <w:color w:val="000000"/>
          <w:szCs w:val="32"/>
          <w:highlight w:val="none"/>
        </w:rPr>
        <w:t>多层次、品质化</w:t>
      </w:r>
      <w:r>
        <w:rPr>
          <w:rFonts w:hint="eastAsia" w:cs="仿宋_GB2312"/>
          <w:bCs/>
          <w:color w:val="000000"/>
          <w:szCs w:val="32"/>
          <w:highlight w:val="none"/>
          <w:lang w:eastAsia="zh-CN"/>
        </w:rPr>
        <w:t>“</w:t>
      </w:r>
      <w:r>
        <w:rPr>
          <w:rFonts w:hint="eastAsia" w:cs="仿宋_GB2312"/>
          <w:bCs/>
          <w:color w:val="000000"/>
          <w:szCs w:val="32"/>
          <w:highlight w:val="none"/>
          <w:lang w:val="en-US" w:eastAsia="zh-CN"/>
        </w:rPr>
        <w:t>好房子</w:t>
      </w:r>
      <w:r>
        <w:rPr>
          <w:rFonts w:hint="eastAsia" w:cs="仿宋_GB2312"/>
          <w:bCs/>
          <w:color w:val="000000"/>
          <w:szCs w:val="32"/>
          <w:highlight w:val="none"/>
          <w:lang w:eastAsia="zh-CN"/>
        </w:rPr>
        <w:t>”</w:t>
      </w:r>
      <w:r>
        <w:rPr>
          <w:rFonts w:hint="eastAsia" w:cs="仿宋_GB2312"/>
          <w:bCs/>
          <w:color w:val="000000"/>
          <w:szCs w:val="32"/>
          <w:highlight w:val="none"/>
        </w:rPr>
        <w:t>升级。</w:t>
      </w:r>
      <w:r>
        <w:rPr>
          <w:rFonts w:hint="eastAsia"/>
          <w:highlight w:val="none"/>
          <w:lang w:val="en-US" w:eastAsia="zh-CN"/>
        </w:rPr>
        <w:t>结构性需求增长空间仍然可观。</w:t>
      </w:r>
    </w:p>
    <w:p w14:paraId="24E977D8">
      <w:pPr>
        <w:pStyle w:val="5"/>
        <w:bidi w:val="0"/>
        <w:rPr>
          <w:rFonts w:hint="eastAsia"/>
          <w:highlight w:val="none"/>
          <w:lang w:val="en-US" w:eastAsia="zh-CN"/>
        </w:rPr>
      </w:pPr>
      <w:bookmarkStart w:id="136" w:name="_Toc21328"/>
      <w:bookmarkStart w:id="137" w:name="_Toc29026"/>
      <w:bookmarkStart w:id="138" w:name="_Toc30335"/>
      <w:bookmarkStart w:id="139" w:name="_Toc4938"/>
      <w:bookmarkStart w:id="140" w:name="_Toc3033"/>
      <w:bookmarkStart w:id="141" w:name="_Toc5896"/>
      <w:r>
        <w:rPr>
          <w:rFonts w:hint="eastAsia"/>
          <w:highlight w:val="none"/>
          <w:lang w:val="en-US" w:eastAsia="zh-CN"/>
        </w:rPr>
        <w:t>4.城市更新促进城市宜居性提升和住房发展良性循环。</w:t>
      </w:r>
      <w:bookmarkEnd w:id="136"/>
      <w:bookmarkEnd w:id="137"/>
      <w:bookmarkEnd w:id="138"/>
      <w:bookmarkEnd w:id="139"/>
      <w:bookmarkEnd w:id="140"/>
      <w:bookmarkEnd w:id="141"/>
    </w:p>
    <w:p w14:paraId="2FB9FA86">
      <w:pPr>
        <w:rPr>
          <w:rFonts w:hint="eastAsia"/>
          <w:highlight w:val="none"/>
        </w:rPr>
      </w:pPr>
      <w:r>
        <w:rPr>
          <w:rFonts w:hint="eastAsia"/>
          <w:highlight w:val="none"/>
        </w:rPr>
        <w:t>随着居民对居住品质的关注不断提升，对城中村改造、老旧小区改造以及物业和社区服务的需求日益增强，城市更新不仅改善了居住环境和社区功能，也为住房消费</w:t>
      </w:r>
      <w:r>
        <w:rPr>
          <w:rFonts w:hint="eastAsia"/>
          <w:highlight w:val="none"/>
          <w:lang w:val="en-US" w:eastAsia="zh-CN"/>
        </w:rPr>
        <w:t>增长</w:t>
      </w:r>
      <w:r>
        <w:rPr>
          <w:rFonts w:hint="eastAsia"/>
          <w:highlight w:val="none"/>
        </w:rPr>
        <w:t>、房地产产业链</w:t>
      </w:r>
      <w:r>
        <w:rPr>
          <w:rFonts w:hint="eastAsia"/>
          <w:highlight w:val="none"/>
          <w:lang w:val="en-US" w:eastAsia="zh-CN"/>
        </w:rPr>
        <w:t>向</w:t>
      </w:r>
      <w:r>
        <w:rPr>
          <w:rFonts w:hint="eastAsia"/>
          <w:highlight w:val="none"/>
        </w:rPr>
        <w:t>长期运营提供了新发展空间。</w:t>
      </w:r>
      <w:r>
        <w:rPr>
          <w:rFonts w:hint="eastAsia"/>
          <w:highlight w:val="none"/>
          <w:lang w:val="en-US" w:eastAsia="zh-CN"/>
        </w:rPr>
        <w:t>未来住房发展侧重“好房子”建设、</w:t>
      </w:r>
      <w:r>
        <w:rPr>
          <w:rFonts w:hint="eastAsia"/>
          <w:highlight w:val="none"/>
        </w:rPr>
        <w:t>存量住房</w:t>
      </w:r>
      <w:r>
        <w:rPr>
          <w:rFonts w:hint="eastAsia"/>
          <w:highlight w:val="none"/>
          <w:lang w:val="en-US" w:eastAsia="zh-CN"/>
        </w:rPr>
        <w:t>更新改造</w:t>
      </w:r>
      <w:r>
        <w:rPr>
          <w:rFonts w:hint="eastAsia"/>
          <w:highlight w:val="none"/>
        </w:rPr>
        <w:t>、</w:t>
      </w:r>
      <w:r>
        <w:rPr>
          <w:rFonts w:hint="eastAsia"/>
          <w:highlight w:val="none"/>
          <w:lang w:val="en-US" w:eastAsia="zh-CN"/>
        </w:rPr>
        <w:t>物业服务品质提升等，与</w:t>
      </w:r>
      <w:r>
        <w:rPr>
          <w:rFonts w:hint="eastAsia"/>
          <w:highlight w:val="none"/>
        </w:rPr>
        <w:t>城市宜居性提升有机结合</w:t>
      </w:r>
      <w:r>
        <w:rPr>
          <w:rFonts w:hint="eastAsia"/>
          <w:highlight w:val="none"/>
          <w:lang w:eastAsia="zh-CN"/>
        </w:rPr>
        <w:t>、</w:t>
      </w:r>
      <w:r>
        <w:rPr>
          <w:rFonts w:hint="eastAsia"/>
          <w:highlight w:val="none"/>
          <w:lang w:val="en-US" w:eastAsia="zh-CN"/>
        </w:rPr>
        <w:t>相辅相成</w:t>
      </w:r>
      <w:r>
        <w:rPr>
          <w:rFonts w:hint="eastAsia"/>
          <w:highlight w:val="none"/>
        </w:rPr>
        <w:t>。</w:t>
      </w:r>
    </w:p>
    <w:p w14:paraId="4DBD9116">
      <w:pPr>
        <w:pStyle w:val="3"/>
        <w:rPr>
          <w:rFonts w:hint="default"/>
          <w:lang w:val="en-US" w:eastAsia="zh-CN"/>
        </w:rPr>
      </w:pPr>
      <w:bookmarkStart w:id="142" w:name="_Toc31034"/>
      <w:bookmarkStart w:id="143" w:name="_Toc6833"/>
      <w:bookmarkStart w:id="144" w:name="_Toc32716"/>
      <w:bookmarkStart w:id="145" w:name="_Toc15420"/>
      <w:bookmarkStart w:id="146" w:name="_Toc31486"/>
      <w:r>
        <w:rPr>
          <w:rFonts w:hint="eastAsia"/>
          <w:lang w:val="en-US" w:eastAsia="zh-CN"/>
        </w:rPr>
        <w:t>二、总体要求</w:t>
      </w:r>
      <w:bookmarkEnd w:id="142"/>
      <w:bookmarkEnd w:id="143"/>
      <w:bookmarkEnd w:id="144"/>
      <w:bookmarkEnd w:id="145"/>
      <w:bookmarkEnd w:id="146"/>
    </w:p>
    <w:p w14:paraId="7B1F33DE">
      <w:pPr>
        <w:pStyle w:val="4"/>
        <w:bidi w:val="0"/>
        <w:spacing w:before="0" w:beforeLines="0" w:after="0" w:afterLines="0"/>
        <w:rPr>
          <w:rFonts w:hint="eastAsia"/>
          <w:highlight w:val="none"/>
          <w:lang w:val="en-US" w:eastAsia="zh-CN"/>
        </w:rPr>
      </w:pPr>
      <w:bookmarkStart w:id="147" w:name="_Toc24981"/>
      <w:bookmarkStart w:id="148" w:name="_Toc19380"/>
      <w:bookmarkStart w:id="149" w:name="_Toc25563"/>
      <w:bookmarkStart w:id="150" w:name="_Toc11454"/>
      <w:bookmarkStart w:id="151" w:name="_Toc15728"/>
      <w:bookmarkStart w:id="152" w:name="_Toc10975"/>
      <w:bookmarkStart w:id="153" w:name="_Toc15963"/>
      <w:bookmarkStart w:id="154" w:name="_Toc18400"/>
      <w:bookmarkStart w:id="155" w:name="_Toc11435"/>
      <w:bookmarkStart w:id="156" w:name="_Toc19056"/>
      <w:bookmarkStart w:id="157" w:name="_Toc19410"/>
      <w:bookmarkStart w:id="158" w:name="_Toc27319"/>
      <w:bookmarkStart w:id="159" w:name="_Toc10703"/>
      <w:bookmarkStart w:id="160" w:name="_Toc22812"/>
      <w:bookmarkStart w:id="161" w:name="_Toc18820"/>
      <w:bookmarkStart w:id="162" w:name="_Toc30368"/>
      <w:bookmarkStart w:id="163" w:name="_Toc15903"/>
      <w:bookmarkStart w:id="164" w:name="_Toc2130"/>
      <w:bookmarkStart w:id="165" w:name="_Toc5035"/>
      <w:bookmarkStart w:id="166" w:name="_Toc16163"/>
      <w:bookmarkStart w:id="167" w:name="_Toc19361"/>
      <w:r>
        <w:rPr>
          <w:rFonts w:hint="eastAsia"/>
          <w:highlight w:val="none"/>
          <w:lang w:val="en-US" w:eastAsia="zh-CN"/>
        </w:rPr>
        <w:t>（一）指导思想</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0B89DB1">
      <w:pPr>
        <w:rPr>
          <w:rFonts w:hint="eastAsia"/>
          <w:highlight w:val="none"/>
          <w:lang w:val="en-US" w:eastAsia="zh-CN"/>
        </w:rPr>
      </w:pPr>
      <w:r>
        <w:rPr>
          <w:rFonts w:hint="eastAsia"/>
          <w:highlight w:val="none"/>
          <w:lang w:val="en-US" w:eastAsia="zh-CN"/>
        </w:rPr>
        <w:t>坚持以习近平新时代中国特色社会主义思想为指导，全面贯彻党的二十大和二十届历次全会会议精神，深入学习贯彻习近平总书记考察河南考察南阳重要讲话重要指示精神，聚焦省委“1+2+4+N”目标任务体系，围绕现代化省域副中心城市建设，锚定“三区一中心一高地”战略定位，坚持“人民城市人民建、人民城市为人民”的理念，全面落实“房子是用来住的、不是用来炒的”定位。以高质量发展为导向，统筹增量建设与存量盘活、市场供给与住房保障，深化住房供给侧结构性改革，健全住房保障体系，优化空间布局与供应结构，提升居住品质、完善配套服务，融合城市更新、绿色低碳与康养养老发展，构建房地产市场健康发展长效机制，加快实现从住有所居向住有优居转变，打造契合南阳实际、顺应发展趋势、满足群众多层次需求的现代住房发展模式。</w:t>
      </w:r>
    </w:p>
    <w:p w14:paraId="0433DD4E">
      <w:pPr>
        <w:pStyle w:val="4"/>
        <w:bidi w:val="0"/>
        <w:rPr>
          <w:rFonts w:hint="eastAsia"/>
          <w:highlight w:val="none"/>
          <w:lang w:val="en-US" w:eastAsia="zh-CN"/>
        </w:rPr>
      </w:pPr>
      <w:bookmarkStart w:id="168" w:name="_Toc2016"/>
      <w:bookmarkStart w:id="169" w:name="_Toc10681"/>
      <w:bookmarkStart w:id="170" w:name="_Toc18623"/>
      <w:bookmarkStart w:id="171" w:name="_Toc31942"/>
      <w:bookmarkStart w:id="172" w:name="_Toc8805"/>
      <w:bookmarkStart w:id="173" w:name="_Toc32638"/>
      <w:bookmarkStart w:id="174" w:name="_Toc26076"/>
      <w:bookmarkStart w:id="175" w:name="_Toc22587"/>
      <w:bookmarkStart w:id="176" w:name="_Toc6745"/>
      <w:bookmarkStart w:id="177" w:name="_Toc14126"/>
      <w:bookmarkStart w:id="178" w:name="_Toc131"/>
      <w:bookmarkStart w:id="179" w:name="_Toc7571"/>
      <w:bookmarkStart w:id="180" w:name="_Toc23973"/>
      <w:bookmarkStart w:id="181" w:name="_Toc9785"/>
      <w:bookmarkStart w:id="182" w:name="_Toc17245"/>
      <w:bookmarkStart w:id="183" w:name="_Toc1219"/>
      <w:bookmarkStart w:id="184" w:name="_Toc8168"/>
      <w:bookmarkStart w:id="185" w:name="_Toc30257"/>
      <w:bookmarkStart w:id="186" w:name="_Toc7057"/>
      <w:bookmarkStart w:id="187" w:name="_Toc6634"/>
      <w:bookmarkStart w:id="188" w:name="_Toc740"/>
      <w:r>
        <w:rPr>
          <w:rFonts w:hint="eastAsia"/>
          <w:highlight w:val="none"/>
          <w:lang w:val="en-US" w:eastAsia="zh-CN"/>
        </w:rPr>
        <w:t>（二）基本原则</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574DFC5">
      <w:pPr>
        <w:pStyle w:val="5"/>
        <w:bidi w:val="0"/>
        <w:rPr>
          <w:rFonts w:hint="eastAsia"/>
          <w:highlight w:val="none"/>
          <w:lang w:val="en-US" w:eastAsia="zh-CN"/>
        </w:rPr>
      </w:pPr>
      <w:bookmarkStart w:id="189" w:name="_Toc21502"/>
      <w:bookmarkStart w:id="190" w:name="_Toc29244"/>
      <w:bookmarkStart w:id="191" w:name="_Toc12342"/>
      <w:bookmarkStart w:id="192" w:name="_Toc10911"/>
      <w:bookmarkStart w:id="193" w:name="_Toc24967"/>
      <w:bookmarkStart w:id="194" w:name="_Toc4908"/>
      <w:bookmarkStart w:id="195" w:name="_Toc11710"/>
      <w:r>
        <w:rPr>
          <w:rFonts w:hint="eastAsia"/>
          <w:highlight w:val="none"/>
          <w:lang w:val="en-US" w:eastAsia="zh-CN"/>
        </w:rPr>
        <w:t>1.坚持党的领导</w:t>
      </w:r>
      <w:bookmarkEnd w:id="189"/>
      <w:bookmarkEnd w:id="190"/>
      <w:bookmarkEnd w:id="191"/>
      <w:bookmarkEnd w:id="192"/>
      <w:bookmarkEnd w:id="193"/>
      <w:bookmarkEnd w:id="194"/>
    </w:p>
    <w:p w14:paraId="483C30F4">
      <w:pPr>
        <w:rPr>
          <w:rFonts w:hint="eastAsia"/>
          <w:highlight w:val="none"/>
        </w:rPr>
      </w:pPr>
      <w:r>
        <w:rPr>
          <w:rFonts w:hint="eastAsia"/>
          <w:highlight w:val="none"/>
        </w:rPr>
        <w:t>坚持党对住房发展工作的全面领导，确保住房规划建设始终沿着正确方向推进。锚定“建强副中心、打造增长极、奔向新辉煌”发展目标</w:t>
      </w:r>
      <w:r>
        <w:rPr>
          <w:rFonts w:hint="eastAsia"/>
          <w:highlight w:val="none"/>
          <w:lang w:eastAsia="zh-CN"/>
        </w:rPr>
        <w:t>，</w:t>
      </w:r>
      <w:r>
        <w:rPr>
          <w:rFonts w:hint="eastAsia"/>
          <w:highlight w:val="none"/>
        </w:rPr>
        <w:t>加强统筹协调和部门联动，推动住房发展与城市建设、产业发展和民生改善协同实施。</w:t>
      </w:r>
    </w:p>
    <w:p w14:paraId="0C66CF5F">
      <w:pPr>
        <w:pStyle w:val="5"/>
        <w:bidi w:val="0"/>
        <w:rPr>
          <w:rFonts w:hint="default"/>
          <w:highlight w:val="none"/>
          <w:lang w:val="en-US" w:eastAsia="zh-CN"/>
        </w:rPr>
      </w:pPr>
      <w:bookmarkStart w:id="196" w:name="_Toc28212"/>
      <w:bookmarkStart w:id="197" w:name="_Toc19633"/>
      <w:bookmarkStart w:id="198" w:name="_Toc11230"/>
      <w:bookmarkStart w:id="199" w:name="_Toc23586"/>
      <w:bookmarkStart w:id="200" w:name="_Toc2445"/>
      <w:bookmarkStart w:id="201" w:name="_Toc15681"/>
      <w:r>
        <w:rPr>
          <w:rFonts w:hint="eastAsia"/>
          <w:highlight w:val="none"/>
          <w:lang w:val="en-US" w:eastAsia="zh-CN"/>
        </w:rPr>
        <w:t>2.坚持</w:t>
      </w:r>
      <w:bookmarkEnd w:id="195"/>
      <w:r>
        <w:rPr>
          <w:rFonts w:hint="eastAsia"/>
          <w:highlight w:val="none"/>
          <w:lang w:val="en-US" w:eastAsia="zh-CN"/>
        </w:rPr>
        <w:t>人民至上</w:t>
      </w:r>
      <w:bookmarkEnd w:id="196"/>
      <w:bookmarkEnd w:id="197"/>
      <w:bookmarkEnd w:id="198"/>
      <w:bookmarkEnd w:id="199"/>
      <w:bookmarkEnd w:id="200"/>
      <w:bookmarkEnd w:id="201"/>
    </w:p>
    <w:p w14:paraId="0170BAE3">
      <w:pPr>
        <w:rPr>
          <w:rFonts w:hint="eastAsia"/>
          <w:highlight w:val="none"/>
          <w:lang w:val="en-US" w:eastAsia="zh-CN"/>
        </w:rPr>
      </w:pPr>
      <w:r>
        <w:rPr>
          <w:rFonts w:hint="eastAsia"/>
          <w:highlight w:val="none"/>
          <w:lang w:val="en-US" w:eastAsia="zh-CN"/>
        </w:rPr>
        <w:t>坚持以人民为中心的发展思想，把满足人民群众多层次、多样化住房需求作为住房工作的根本出发点和落脚点，优化保障性住房建设与供给，使住房发展成果更多更公平惠及全体人民。</w:t>
      </w:r>
    </w:p>
    <w:p w14:paraId="06C2FFF0">
      <w:pPr>
        <w:pStyle w:val="5"/>
        <w:bidi w:val="0"/>
        <w:rPr>
          <w:rFonts w:hint="default"/>
          <w:highlight w:val="none"/>
          <w:lang w:val="en-US" w:eastAsia="zh-CN"/>
        </w:rPr>
      </w:pPr>
      <w:bookmarkStart w:id="202" w:name="_Toc24796"/>
      <w:bookmarkStart w:id="203" w:name="_Toc29122"/>
      <w:bookmarkStart w:id="204" w:name="_Toc4230"/>
      <w:bookmarkStart w:id="205" w:name="_Toc15776"/>
      <w:bookmarkStart w:id="206" w:name="_Toc847"/>
      <w:bookmarkStart w:id="207" w:name="_Toc24851"/>
      <w:r>
        <w:rPr>
          <w:rFonts w:hint="eastAsia"/>
          <w:highlight w:val="none"/>
          <w:lang w:val="en-US" w:eastAsia="zh-CN"/>
        </w:rPr>
        <w:t>3.坚持</w:t>
      </w:r>
      <w:bookmarkEnd w:id="202"/>
      <w:bookmarkEnd w:id="203"/>
      <w:bookmarkEnd w:id="204"/>
      <w:bookmarkEnd w:id="205"/>
      <w:bookmarkEnd w:id="206"/>
      <w:bookmarkEnd w:id="207"/>
      <w:r>
        <w:rPr>
          <w:rFonts w:hint="eastAsia"/>
          <w:highlight w:val="none"/>
          <w:lang w:val="en-US" w:eastAsia="zh-CN"/>
        </w:rPr>
        <w:t>高质量发展</w:t>
      </w:r>
    </w:p>
    <w:p w14:paraId="13281B26">
      <w:pPr>
        <w:rPr>
          <w:rFonts w:hint="eastAsia"/>
          <w:highlight w:val="none"/>
          <w:lang w:val="en-US" w:eastAsia="zh-CN"/>
        </w:rPr>
      </w:pPr>
      <w:r>
        <w:rPr>
          <w:rFonts w:hint="eastAsia"/>
          <w:highlight w:val="none"/>
          <w:lang w:val="en-US" w:eastAsia="zh-CN"/>
        </w:rPr>
        <w:t>以高质量发展为导向，积极推进“好房子”建设，优化住房供给结构，提升建设运维品质与安全韧性，</w:t>
      </w:r>
      <w:r>
        <w:rPr>
          <w:rFonts w:hint="eastAsia"/>
          <w:highlight w:val="none"/>
        </w:rPr>
        <w:t>完善配套服务，</w:t>
      </w:r>
      <w:r>
        <w:rPr>
          <w:rFonts w:hint="eastAsia"/>
          <w:highlight w:val="none"/>
          <w:lang w:val="en-US" w:eastAsia="zh-CN"/>
        </w:rPr>
        <w:t>促进城市宜居水平稳步提升</w:t>
      </w:r>
      <w:r>
        <w:rPr>
          <w:rFonts w:hint="eastAsia"/>
          <w:highlight w:val="none"/>
        </w:rPr>
        <w:t>。</w:t>
      </w:r>
    </w:p>
    <w:p w14:paraId="663A16FC">
      <w:pPr>
        <w:pStyle w:val="5"/>
        <w:bidi w:val="0"/>
        <w:rPr>
          <w:rFonts w:hint="eastAsia"/>
          <w:highlight w:val="none"/>
          <w:lang w:val="en-US" w:eastAsia="zh-CN"/>
        </w:rPr>
      </w:pPr>
      <w:bookmarkStart w:id="208" w:name="_Toc12116"/>
      <w:bookmarkStart w:id="209" w:name="_Toc16650"/>
      <w:bookmarkStart w:id="210" w:name="_Toc4599"/>
      <w:bookmarkStart w:id="211" w:name="_Toc15483"/>
      <w:bookmarkStart w:id="212" w:name="_Toc28779"/>
      <w:bookmarkStart w:id="213" w:name="_Toc29522"/>
      <w:bookmarkStart w:id="214" w:name="_Toc13311"/>
      <w:r>
        <w:rPr>
          <w:rFonts w:hint="eastAsia"/>
          <w:highlight w:val="none"/>
          <w:lang w:val="en-US" w:eastAsia="zh-CN"/>
        </w:rPr>
        <w:t>4.坚持改革创新</w:t>
      </w:r>
      <w:bookmarkEnd w:id="208"/>
      <w:bookmarkEnd w:id="209"/>
      <w:bookmarkEnd w:id="210"/>
      <w:bookmarkEnd w:id="211"/>
      <w:bookmarkEnd w:id="212"/>
      <w:bookmarkEnd w:id="213"/>
      <w:bookmarkEnd w:id="214"/>
    </w:p>
    <w:p w14:paraId="0A9FDE51">
      <w:pPr>
        <w:rPr>
          <w:rFonts w:hint="eastAsia"/>
          <w:highlight w:val="none"/>
          <w:lang w:val="en-US" w:eastAsia="zh-CN"/>
        </w:rPr>
      </w:pPr>
      <w:r>
        <w:rPr>
          <w:rFonts w:hint="eastAsia"/>
          <w:highlight w:val="none"/>
          <w:lang w:val="en-US" w:eastAsia="zh-CN"/>
        </w:rPr>
        <w:t>立足南阳住房发展实际，顺应行业发展新形势、新变化，强化政策创新与制度供给，推动房地产业从质的有效提升和结构的合理优化，加快构建房地产发展新模式。</w:t>
      </w:r>
    </w:p>
    <w:p w14:paraId="5D313CED">
      <w:pPr>
        <w:pStyle w:val="4"/>
        <w:bidi w:val="0"/>
        <w:rPr>
          <w:rFonts w:hint="eastAsia"/>
          <w:highlight w:val="none"/>
          <w:lang w:val="en-US" w:eastAsia="zh-CN"/>
        </w:rPr>
      </w:pPr>
      <w:bookmarkStart w:id="215" w:name="_Toc17058"/>
      <w:bookmarkStart w:id="216" w:name="_Toc11093"/>
      <w:bookmarkStart w:id="217" w:name="_Toc2848"/>
      <w:bookmarkStart w:id="218" w:name="_Toc23481"/>
      <w:bookmarkStart w:id="219" w:name="_Toc31786"/>
      <w:bookmarkStart w:id="220" w:name="_Toc28548"/>
      <w:bookmarkStart w:id="221" w:name="_Toc9292"/>
      <w:bookmarkStart w:id="222" w:name="_Toc13230"/>
      <w:bookmarkStart w:id="223" w:name="_Toc6394"/>
      <w:bookmarkStart w:id="224" w:name="_Toc31447"/>
      <w:bookmarkStart w:id="225" w:name="_Toc12272"/>
      <w:bookmarkStart w:id="226" w:name="_Toc21224"/>
      <w:bookmarkStart w:id="227" w:name="_Toc1360"/>
      <w:bookmarkStart w:id="228" w:name="_Toc1990"/>
      <w:bookmarkStart w:id="229" w:name="_Toc21260"/>
      <w:bookmarkStart w:id="230" w:name="_Toc452"/>
      <w:bookmarkStart w:id="231" w:name="_Toc15891"/>
      <w:bookmarkStart w:id="232" w:name="_Toc5104"/>
      <w:bookmarkStart w:id="233" w:name="_Toc5782"/>
      <w:bookmarkStart w:id="234" w:name="_Toc30523"/>
      <w:bookmarkStart w:id="235" w:name="_Toc6533"/>
      <w:r>
        <w:rPr>
          <w:rFonts w:hint="eastAsia"/>
          <w:highlight w:val="none"/>
          <w:lang w:val="en-US" w:eastAsia="zh-CN"/>
        </w:rPr>
        <w:t>（三）发展目标</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E531873">
      <w:pPr>
        <w:rPr>
          <w:rFonts w:hint="eastAsia"/>
          <w:highlight w:val="none"/>
          <w:lang w:val="en-US" w:eastAsia="zh-CN"/>
        </w:rPr>
      </w:pPr>
      <w:r>
        <w:rPr>
          <w:rFonts w:hint="eastAsia"/>
          <w:highlight w:val="none"/>
          <w:lang w:eastAsia="zh-CN"/>
        </w:rPr>
        <w:t>“</w:t>
      </w:r>
      <w:r>
        <w:rPr>
          <w:rFonts w:hint="eastAsia"/>
          <w:highlight w:val="none"/>
        </w:rPr>
        <w:t>十五五</w:t>
      </w:r>
      <w:r>
        <w:rPr>
          <w:rFonts w:hint="eastAsia"/>
          <w:highlight w:val="none"/>
          <w:lang w:eastAsia="zh-CN"/>
        </w:rPr>
        <w:t>”</w:t>
      </w:r>
      <w:r>
        <w:rPr>
          <w:rFonts w:hint="eastAsia"/>
          <w:highlight w:val="none"/>
        </w:rPr>
        <w:t>期间，紧扣南阳建设河南省域副中心城市目标定位，立足南水北调中线水源地生态优势和豫鄂陕毗邻区域中心区位优势，以高质量发展为引领，构建与人口集聚趋势和产业发展相适应、租购并举、结构合理、品质优良、绿色安全的住房发展新格局。</w:t>
      </w:r>
    </w:p>
    <w:p w14:paraId="2DD4594B">
      <w:pPr>
        <w:rPr>
          <w:rFonts w:hint="eastAsia"/>
          <w:highlight w:val="none"/>
          <w:lang w:val="en-US" w:eastAsia="zh-CN"/>
        </w:rPr>
      </w:pPr>
      <w:r>
        <w:rPr>
          <w:rFonts w:hint="eastAsia"/>
          <w:b/>
          <w:bCs/>
          <w:highlight w:val="none"/>
          <w:lang w:val="en-US" w:eastAsia="zh-CN"/>
        </w:rPr>
        <w:t>一是市场平稳健康发展。</w:t>
      </w:r>
      <w:r>
        <w:rPr>
          <w:rFonts w:hint="eastAsia"/>
          <w:highlight w:val="none"/>
          <w:lang w:val="en-US" w:eastAsia="zh-CN"/>
        </w:rPr>
        <w:t>住房价格和成交量回归合理区间，</w:t>
      </w:r>
      <w:r>
        <w:rPr>
          <w:rFonts w:hint="eastAsia"/>
          <w:highlight w:val="none"/>
        </w:rPr>
        <w:t>库存水平趋于合理</w:t>
      </w:r>
      <w:r>
        <w:rPr>
          <w:rFonts w:hint="eastAsia"/>
          <w:highlight w:val="none"/>
          <w:lang w:val="en-US" w:eastAsia="zh-CN"/>
        </w:rPr>
        <w:t>，房地产市场实现止跌回稳，居民各类住房需求得到有效满足。存量住房流通机制更加完善，交易秩序更加规范，</w:t>
      </w:r>
      <w:r>
        <w:rPr>
          <w:rFonts w:hint="eastAsia"/>
          <w:highlight w:val="none"/>
        </w:rPr>
        <w:t>存量房使用和流转效率显著提升</w:t>
      </w:r>
      <w:r>
        <w:rPr>
          <w:rFonts w:hint="eastAsia"/>
          <w:highlight w:val="none"/>
          <w:lang w:val="en-US" w:eastAsia="zh-CN"/>
        </w:rPr>
        <w:t>。房地产领域风险得到有效防控。初步形成与高质量发展相适应的房地产发展新模式。</w:t>
      </w:r>
    </w:p>
    <w:p w14:paraId="44E7906D">
      <w:pPr>
        <w:rPr>
          <w:rFonts w:hint="default"/>
          <w:highlight w:val="none"/>
          <w:lang w:val="en-US" w:eastAsia="zh-CN"/>
        </w:rPr>
      </w:pPr>
      <w:r>
        <w:rPr>
          <w:rFonts w:hint="eastAsia"/>
          <w:b/>
          <w:bCs/>
          <w:highlight w:val="none"/>
          <w:lang w:val="en-US" w:eastAsia="zh-CN"/>
        </w:rPr>
        <w:t>二是保障水平不断提高。</w:t>
      </w:r>
      <w:r>
        <w:rPr>
          <w:rFonts w:hint="eastAsia"/>
          <w:highlight w:val="none"/>
          <w:lang w:val="en-US" w:eastAsia="zh-CN"/>
        </w:rPr>
        <w:t>“租购并举”的住房保障体系更加健全。结合去库存增加保障性住房供给，中低收入群体和新市民、青年人住房需求得到更好满足，</w:t>
      </w:r>
      <w:r>
        <w:rPr>
          <w:rFonts w:hint="eastAsia"/>
          <w:highlight w:val="none"/>
        </w:rPr>
        <w:t>产业人才和高校学生宿舍建设有机融入住房保障体系</w:t>
      </w:r>
      <w:r>
        <w:rPr>
          <w:rFonts w:hint="eastAsia"/>
          <w:highlight w:val="none"/>
          <w:lang w:eastAsia="zh-CN"/>
        </w:rPr>
        <w:t>。</w:t>
      </w:r>
      <w:r>
        <w:rPr>
          <w:rFonts w:hint="eastAsia"/>
          <w:highlight w:val="none"/>
          <w:lang w:val="en-US" w:eastAsia="zh-CN"/>
        </w:rPr>
        <w:t>保障性住房布局和房源结构持续优化，住房保障更加精准。</w:t>
      </w:r>
    </w:p>
    <w:p w14:paraId="454D128D">
      <w:pPr>
        <w:rPr>
          <w:rFonts w:hint="default"/>
          <w:highlight w:val="none"/>
          <w:lang w:val="en-US" w:eastAsia="zh-CN"/>
        </w:rPr>
      </w:pPr>
      <w:r>
        <w:rPr>
          <w:rFonts w:hint="eastAsia"/>
          <w:b/>
          <w:bCs/>
          <w:highlight w:val="none"/>
          <w:lang w:val="en-US" w:eastAsia="zh-CN"/>
        </w:rPr>
        <w:t>三是住区更新稳步推进。</w:t>
      </w:r>
      <w:r>
        <w:rPr>
          <w:rFonts w:hint="eastAsia"/>
          <w:highlight w:val="none"/>
          <w:lang w:val="en-US" w:eastAsia="zh-CN"/>
        </w:rPr>
        <w:t>老旧小区、危旧房及城中村改造稳步推进，住房基础设施和公共服务短板得到有效补齐。新区配套设施日益完善，居住活力进一步提升。</w:t>
      </w:r>
    </w:p>
    <w:p w14:paraId="6E6363FF">
      <w:pPr>
        <w:rPr>
          <w:rFonts w:hint="eastAsia"/>
          <w:highlight w:val="none"/>
          <w:lang w:val="en-US" w:eastAsia="zh-CN"/>
        </w:rPr>
      </w:pPr>
      <w:r>
        <w:rPr>
          <w:rFonts w:hint="eastAsia"/>
          <w:b/>
          <w:bCs/>
          <w:highlight w:val="none"/>
          <w:lang w:val="en-US" w:eastAsia="zh-CN"/>
        </w:rPr>
        <w:t>四是居住品质服务提升。</w:t>
      </w:r>
      <w:r>
        <w:rPr>
          <w:rFonts w:hint="eastAsia"/>
          <w:highlight w:val="none"/>
          <w:lang w:val="en-US" w:eastAsia="zh-CN"/>
        </w:rPr>
        <w:t>住房品质明显改善，物业服务逐步规范化、专业化，服务水平与收费标准相匹配。“好房子、好小区、好社区”建设成效显著。</w:t>
      </w:r>
    </w:p>
    <w:p w14:paraId="6BF3BFAB">
      <w:pPr>
        <w:pStyle w:val="30"/>
        <w:bidi w:val="0"/>
        <w:spacing w:beforeLines="0" w:afterLines="0" w:line="600" w:lineRule="exact"/>
        <w:rPr>
          <w:rFonts w:hint="eastAsia"/>
          <w:highlight w:val="none"/>
          <w:lang w:val="en-US" w:eastAsia="zh-CN"/>
        </w:rPr>
      </w:pPr>
      <w:r>
        <w:rPr>
          <w:rFonts w:hint="eastAsia"/>
          <w:highlight w:val="none"/>
        </w:rPr>
        <w:t xml:space="preserve">表 </w:t>
      </w:r>
      <w:r>
        <w:rPr>
          <w:rFonts w:hint="eastAsia"/>
          <w:highlight w:val="none"/>
          <w:lang w:val="en-US" w:eastAsia="zh-CN"/>
        </w:rPr>
        <w:t>南阳市</w:t>
      </w:r>
      <w:r>
        <w:rPr>
          <w:rFonts w:hint="eastAsia"/>
          <w:highlight w:val="none"/>
          <w:lang w:eastAsia="zh-CN"/>
        </w:rPr>
        <w:t>“</w:t>
      </w:r>
      <w:r>
        <w:rPr>
          <w:rFonts w:hint="eastAsia"/>
          <w:highlight w:val="none"/>
        </w:rPr>
        <w:t>十五五</w:t>
      </w:r>
      <w:r>
        <w:rPr>
          <w:rFonts w:hint="eastAsia"/>
          <w:highlight w:val="none"/>
          <w:lang w:eastAsia="zh-CN"/>
        </w:rPr>
        <w:t>”</w:t>
      </w:r>
      <w:r>
        <w:rPr>
          <w:rFonts w:hint="eastAsia"/>
          <w:highlight w:val="none"/>
        </w:rPr>
        <w:t>住房发展规划</w:t>
      </w:r>
      <w:r>
        <w:rPr>
          <w:rFonts w:hint="eastAsia"/>
          <w:highlight w:val="none"/>
          <w:lang w:val="en-US" w:eastAsia="zh-CN"/>
        </w:rPr>
        <w:t>指标</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7"/>
        <w:gridCol w:w="3248"/>
        <w:gridCol w:w="969"/>
        <w:gridCol w:w="1324"/>
        <w:gridCol w:w="1313"/>
        <w:gridCol w:w="956"/>
      </w:tblGrid>
      <w:tr w14:paraId="52B8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879" w:hRule="atLeast"/>
          <w:tblHeader/>
        </w:trPr>
        <w:tc>
          <w:tcPr>
            <w:tcW w:w="415" w:type="pct"/>
            <w:shd w:val="clear" w:color="auto" w:fill="auto"/>
            <w:vAlign w:val="center"/>
          </w:tcPr>
          <w:p w14:paraId="4EA6A237">
            <w:pPr>
              <w:bidi w:val="0"/>
              <w:adjustRightInd w:val="0"/>
              <w:snapToGrid w:val="0"/>
              <w:spacing w:beforeLines="0" w:afterLines="0" w:line="240" w:lineRule="auto"/>
              <w:ind w:firstLine="0" w:firstLineChars="0"/>
              <w:jc w:val="center"/>
              <w:rPr>
                <w:rFonts w:hint="eastAsia" w:cs="Times New Roman"/>
                <w:b/>
                <w:bCs/>
                <w:sz w:val="24"/>
                <w:szCs w:val="24"/>
                <w:highlight w:val="none"/>
                <w:lang w:val="en-US" w:eastAsia="zh-CN"/>
              </w:rPr>
            </w:pPr>
          </w:p>
          <w:p w14:paraId="068A58D1">
            <w:pPr>
              <w:bidi w:val="0"/>
              <w:adjustRightInd w:val="0"/>
              <w:snapToGrid w:val="0"/>
              <w:spacing w:beforeLines="0" w:afterLines="0" w:line="240" w:lineRule="auto"/>
              <w:ind w:firstLine="0" w:firstLineChars="0"/>
              <w:jc w:val="center"/>
              <w:rPr>
                <w:rFonts w:hint="eastAsia" w:cs="Times New Roman"/>
                <w:b/>
                <w:bCs/>
                <w:sz w:val="24"/>
                <w:szCs w:val="24"/>
                <w:highlight w:val="none"/>
                <w:lang w:val="en-US" w:eastAsia="zh-CN"/>
              </w:rPr>
            </w:pPr>
          </w:p>
          <w:p w14:paraId="52401F0A">
            <w:pPr>
              <w:bidi w:val="0"/>
              <w:adjustRightInd w:val="0"/>
              <w:snapToGrid w:val="0"/>
              <w:spacing w:beforeLines="0" w:afterLines="0" w:line="240" w:lineRule="auto"/>
              <w:ind w:firstLine="0" w:firstLineChars="0"/>
              <w:jc w:val="center"/>
              <w:rPr>
                <w:rFonts w:hint="default" w:cs="Times New Roman"/>
                <w:b/>
                <w:bCs/>
                <w:sz w:val="24"/>
                <w:szCs w:val="24"/>
                <w:highlight w:val="none"/>
              </w:rPr>
            </w:pPr>
          </w:p>
        </w:tc>
        <w:tc>
          <w:tcPr>
            <w:tcW w:w="1905" w:type="pct"/>
            <w:shd w:val="clear" w:color="auto" w:fill="auto"/>
            <w:vAlign w:val="center"/>
          </w:tcPr>
          <w:p w14:paraId="14E951B9">
            <w:pPr>
              <w:bidi w:val="0"/>
              <w:adjustRightInd w:val="0"/>
              <w:snapToGrid w:val="0"/>
              <w:spacing w:beforeLines="0" w:afterLines="0" w:line="240" w:lineRule="auto"/>
              <w:ind w:firstLine="0" w:firstLineChars="0"/>
              <w:jc w:val="center"/>
              <w:rPr>
                <w:rFonts w:hint="default" w:cs="Times New Roman"/>
                <w:b/>
                <w:bCs/>
                <w:sz w:val="24"/>
                <w:szCs w:val="24"/>
                <w:highlight w:val="none"/>
              </w:rPr>
            </w:pPr>
            <w:r>
              <w:rPr>
                <w:rFonts w:hint="eastAsia" w:cs="Times New Roman"/>
                <w:b/>
                <w:bCs/>
                <w:sz w:val="24"/>
                <w:szCs w:val="24"/>
                <w:highlight w:val="none"/>
                <w:lang w:val="en-US" w:eastAsia="zh-CN"/>
              </w:rPr>
              <w:t>指标</w:t>
            </w:r>
          </w:p>
        </w:tc>
        <w:tc>
          <w:tcPr>
            <w:tcW w:w="568" w:type="pct"/>
            <w:shd w:val="clear" w:color="auto" w:fill="auto"/>
            <w:vAlign w:val="center"/>
          </w:tcPr>
          <w:p w14:paraId="5B3683CD">
            <w:pPr>
              <w:bidi w:val="0"/>
              <w:adjustRightInd w:val="0"/>
              <w:snapToGrid w:val="0"/>
              <w:spacing w:beforeLines="0" w:afterLines="0" w:line="240" w:lineRule="auto"/>
              <w:ind w:firstLine="0" w:firstLineChars="0"/>
              <w:jc w:val="center"/>
              <w:rPr>
                <w:rFonts w:hint="default" w:cs="Times New Roman"/>
                <w:b/>
                <w:bCs/>
                <w:sz w:val="24"/>
                <w:szCs w:val="24"/>
                <w:highlight w:val="none"/>
              </w:rPr>
            </w:pPr>
            <w:r>
              <w:rPr>
                <w:rFonts w:hint="eastAsia" w:cs="Times New Roman"/>
                <w:b/>
                <w:bCs/>
                <w:sz w:val="24"/>
                <w:szCs w:val="24"/>
                <w:highlight w:val="none"/>
                <w:lang w:val="en-US" w:eastAsia="zh-CN"/>
              </w:rPr>
              <w:t>单位</w:t>
            </w:r>
          </w:p>
        </w:tc>
        <w:tc>
          <w:tcPr>
            <w:tcW w:w="776" w:type="pct"/>
            <w:shd w:val="clear" w:color="auto" w:fill="auto"/>
            <w:vAlign w:val="center"/>
          </w:tcPr>
          <w:p w14:paraId="7A55BD7E">
            <w:pPr>
              <w:bidi w:val="0"/>
              <w:adjustRightInd w:val="0"/>
              <w:snapToGrid w:val="0"/>
              <w:spacing w:beforeLines="0" w:afterLines="0" w:line="240" w:lineRule="auto"/>
              <w:ind w:firstLine="0" w:firstLineChars="0"/>
              <w:jc w:val="center"/>
              <w:rPr>
                <w:rFonts w:hint="default" w:cs="Times New Roman"/>
                <w:b/>
                <w:bCs/>
                <w:sz w:val="24"/>
                <w:szCs w:val="24"/>
                <w:highlight w:val="none"/>
                <w:lang w:val="en-US" w:eastAsia="zh-CN"/>
              </w:rPr>
            </w:pPr>
            <w:r>
              <w:rPr>
                <w:rFonts w:hint="eastAsia" w:cs="Times New Roman"/>
                <w:b/>
                <w:bCs/>
                <w:sz w:val="24"/>
                <w:szCs w:val="24"/>
                <w:highlight w:val="none"/>
                <w:lang w:val="en-US" w:eastAsia="zh-CN"/>
              </w:rPr>
              <w:t>“十四五”现状</w:t>
            </w:r>
          </w:p>
        </w:tc>
        <w:tc>
          <w:tcPr>
            <w:tcW w:w="770" w:type="pct"/>
            <w:shd w:val="clear" w:color="auto" w:fill="auto"/>
            <w:vAlign w:val="center"/>
          </w:tcPr>
          <w:p w14:paraId="3E76A68E">
            <w:pPr>
              <w:bidi w:val="0"/>
              <w:adjustRightInd w:val="0"/>
              <w:snapToGrid w:val="0"/>
              <w:spacing w:beforeLines="0" w:afterLines="0" w:line="240" w:lineRule="auto"/>
              <w:ind w:firstLine="0" w:firstLineChars="0"/>
              <w:jc w:val="center"/>
              <w:rPr>
                <w:rFonts w:hint="default" w:cs="Times New Roman"/>
                <w:b/>
                <w:bCs/>
                <w:sz w:val="24"/>
                <w:szCs w:val="24"/>
                <w:highlight w:val="none"/>
              </w:rPr>
            </w:pPr>
            <w:r>
              <w:rPr>
                <w:rFonts w:hint="eastAsia" w:cs="Times New Roman"/>
                <w:b/>
                <w:bCs/>
                <w:sz w:val="24"/>
                <w:szCs w:val="24"/>
                <w:highlight w:val="none"/>
                <w:lang w:val="en-US" w:eastAsia="zh-CN"/>
              </w:rPr>
              <w:t>“十五五”目标</w:t>
            </w:r>
          </w:p>
        </w:tc>
        <w:tc>
          <w:tcPr>
            <w:tcW w:w="560" w:type="pct"/>
            <w:shd w:val="clear" w:color="auto" w:fill="auto"/>
            <w:vAlign w:val="center"/>
          </w:tcPr>
          <w:p w14:paraId="4B0516B6">
            <w:pPr>
              <w:bidi w:val="0"/>
              <w:adjustRightInd w:val="0"/>
              <w:snapToGrid w:val="0"/>
              <w:spacing w:beforeLines="0" w:afterLines="0" w:line="240" w:lineRule="auto"/>
              <w:ind w:firstLine="0" w:firstLineChars="0"/>
              <w:jc w:val="center"/>
              <w:rPr>
                <w:rFonts w:hint="default" w:cs="Times New Roman"/>
                <w:b/>
                <w:bCs/>
                <w:sz w:val="24"/>
                <w:szCs w:val="24"/>
                <w:highlight w:val="none"/>
              </w:rPr>
            </w:pPr>
            <w:r>
              <w:rPr>
                <w:rFonts w:hint="eastAsia" w:cs="Times New Roman"/>
                <w:b/>
                <w:bCs/>
                <w:sz w:val="24"/>
                <w:szCs w:val="24"/>
                <w:highlight w:val="none"/>
                <w:lang w:val="en-US" w:eastAsia="zh-CN"/>
              </w:rPr>
              <w:t>指标属性</w:t>
            </w:r>
          </w:p>
        </w:tc>
      </w:tr>
      <w:tr w14:paraId="15BB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200" w:hRule="atLeast"/>
        </w:trPr>
        <w:tc>
          <w:tcPr>
            <w:tcW w:w="415" w:type="pct"/>
            <w:vMerge w:val="restart"/>
            <w:shd w:val="clear" w:color="auto" w:fill="auto"/>
            <w:vAlign w:val="center"/>
          </w:tcPr>
          <w:p w14:paraId="6C486E78">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市场平稳健康发展</w:t>
            </w:r>
          </w:p>
        </w:tc>
        <w:tc>
          <w:tcPr>
            <w:tcW w:w="1905" w:type="pct"/>
            <w:shd w:val="clear" w:color="auto" w:fill="auto"/>
            <w:vAlign w:val="center"/>
          </w:tcPr>
          <w:p w14:paraId="44BD505A">
            <w:pPr>
              <w:adjustRightInd w:val="0"/>
              <w:snapToGrid w:val="0"/>
              <w:spacing w:beforeLines="0" w:afterLines="0" w:line="240" w:lineRule="auto"/>
              <w:ind w:firstLine="0" w:firstLineChars="0"/>
              <w:jc w:val="center"/>
              <w:rPr>
                <w:rFonts w:hint="default" w:cs="Times New Roman"/>
                <w:b/>
                <w:bCs/>
                <w:sz w:val="24"/>
                <w:szCs w:val="24"/>
                <w:highlight w:val="none"/>
                <w:lang w:val="en-US" w:eastAsia="zh-CN"/>
              </w:rPr>
            </w:pPr>
            <w:r>
              <w:rPr>
                <w:rFonts w:hint="eastAsia" w:cs="Times New Roman"/>
                <w:sz w:val="24"/>
                <w:szCs w:val="24"/>
                <w:highlight w:val="none"/>
              </w:rPr>
              <w:t>城镇居民人均住房建筑面积</w:t>
            </w:r>
          </w:p>
        </w:tc>
        <w:tc>
          <w:tcPr>
            <w:tcW w:w="568" w:type="pct"/>
            <w:shd w:val="clear" w:color="auto" w:fill="auto"/>
            <w:vAlign w:val="center"/>
          </w:tcPr>
          <w:p w14:paraId="1911E9F3">
            <w:pPr>
              <w:adjustRightInd w:val="0"/>
              <w:snapToGrid w:val="0"/>
              <w:spacing w:beforeLines="0" w:afterLines="0" w:line="240" w:lineRule="auto"/>
              <w:ind w:firstLine="0" w:firstLineChars="0"/>
              <w:jc w:val="center"/>
              <w:rPr>
                <w:rFonts w:hint="eastAsia" w:cs="Times New Roman"/>
                <w:b/>
                <w:bCs/>
                <w:sz w:val="24"/>
                <w:szCs w:val="24"/>
                <w:highlight w:val="none"/>
                <w:lang w:val="en-US" w:eastAsia="zh-CN"/>
              </w:rPr>
            </w:pPr>
            <w:r>
              <w:rPr>
                <w:rFonts w:hint="eastAsia" w:cs="Times New Roman"/>
                <w:sz w:val="24"/>
                <w:szCs w:val="24"/>
                <w:highlight w:val="none"/>
                <w:lang w:eastAsia="zh-CN"/>
              </w:rPr>
              <w:t>平方米</w:t>
            </w:r>
          </w:p>
        </w:tc>
        <w:tc>
          <w:tcPr>
            <w:tcW w:w="776" w:type="pct"/>
            <w:shd w:val="clear" w:color="auto" w:fill="auto"/>
            <w:vAlign w:val="center"/>
          </w:tcPr>
          <w:p w14:paraId="4AACA5EE">
            <w:pPr>
              <w:tabs>
                <w:tab w:val="left" w:pos="340"/>
              </w:tabs>
              <w:adjustRightInd w:val="0"/>
              <w:snapToGrid w:val="0"/>
              <w:spacing w:beforeLines="0" w:afterLines="0" w:line="240" w:lineRule="auto"/>
              <w:ind w:firstLine="0" w:firstLineChars="0"/>
              <w:jc w:val="center"/>
              <w:rPr>
                <w:rFonts w:hint="default" w:cs="Times New Roman"/>
                <w:b/>
                <w:bCs/>
                <w:sz w:val="24"/>
                <w:szCs w:val="24"/>
                <w:highlight w:val="none"/>
                <w:lang w:val="en-US" w:eastAsia="zh-CN"/>
              </w:rPr>
            </w:pPr>
            <w:r>
              <w:rPr>
                <w:rFonts w:hint="eastAsia" w:cs="Times New Roman"/>
                <w:kern w:val="2"/>
                <w:sz w:val="24"/>
                <w:szCs w:val="24"/>
                <w:highlight w:val="none"/>
                <w:lang w:val="en-US" w:eastAsia="zh-CN" w:bidi="ar-SA"/>
              </w:rPr>
              <w:t>46.2</w:t>
            </w:r>
          </w:p>
        </w:tc>
        <w:tc>
          <w:tcPr>
            <w:tcW w:w="770" w:type="pct"/>
            <w:shd w:val="clear" w:color="auto" w:fill="auto"/>
            <w:vAlign w:val="center"/>
          </w:tcPr>
          <w:p w14:paraId="5A2BF964">
            <w:pPr>
              <w:tabs>
                <w:tab w:val="left" w:pos="340"/>
              </w:tabs>
              <w:adjustRightInd w:val="0"/>
              <w:snapToGrid w:val="0"/>
              <w:spacing w:beforeLines="0" w:afterLines="0" w:line="240" w:lineRule="auto"/>
              <w:ind w:firstLine="0" w:firstLineChars="0"/>
              <w:jc w:val="center"/>
              <w:rPr>
                <w:rFonts w:hint="default" w:cs="Times New Roman"/>
                <w:b/>
                <w:bCs/>
                <w:sz w:val="24"/>
                <w:szCs w:val="24"/>
                <w:highlight w:val="none"/>
                <w:lang w:val="en-US" w:eastAsia="zh-CN"/>
              </w:rPr>
            </w:pPr>
            <w:r>
              <w:rPr>
                <w:rFonts w:hint="eastAsia" w:cs="Times New Roman"/>
                <w:kern w:val="2"/>
                <w:sz w:val="24"/>
                <w:szCs w:val="24"/>
                <w:highlight w:val="none"/>
                <w:lang w:val="en-US" w:eastAsia="zh-CN" w:bidi="ar-SA"/>
              </w:rPr>
              <w:t>50</w:t>
            </w:r>
          </w:p>
        </w:tc>
        <w:tc>
          <w:tcPr>
            <w:tcW w:w="560" w:type="pct"/>
            <w:shd w:val="clear" w:color="auto" w:fill="auto"/>
            <w:vAlign w:val="center"/>
          </w:tcPr>
          <w:p w14:paraId="1076246B">
            <w:pPr>
              <w:adjustRightInd w:val="0"/>
              <w:snapToGrid w:val="0"/>
              <w:spacing w:beforeLines="0" w:afterLines="0" w:line="240" w:lineRule="auto"/>
              <w:ind w:firstLine="0" w:firstLineChars="0"/>
              <w:jc w:val="center"/>
              <w:rPr>
                <w:rFonts w:hint="eastAsia" w:cs="Times New Roman"/>
                <w:b/>
                <w:bCs/>
                <w:sz w:val="24"/>
                <w:szCs w:val="24"/>
                <w:highlight w:val="none"/>
                <w:lang w:val="en-US" w:eastAsia="zh-CN"/>
              </w:rPr>
            </w:pPr>
            <w:r>
              <w:rPr>
                <w:rFonts w:hint="eastAsia" w:cs="Times New Roman"/>
                <w:sz w:val="24"/>
                <w:szCs w:val="24"/>
                <w:highlight w:val="none"/>
              </w:rPr>
              <w:t>预期性</w:t>
            </w:r>
          </w:p>
        </w:tc>
      </w:tr>
      <w:tr w14:paraId="4959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523B163A">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p>
        </w:tc>
        <w:tc>
          <w:tcPr>
            <w:tcW w:w="1905" w:type="pct"/>
            <w:vMerge w:val="restart"/>
            <w:shd w:val="clear" w:color="auto" w:fill="auto"/>
            <w:vAlign w:val="center"/>
          </w:tcPr>
          <w:p w14:paraId="78AFA521">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新房和二手房交易总规模</w:t>
            </w:r>
          </w:p>
        </w:tc>
        <w:tc>
          <w:tcPr>
            <w:tcW w:w="568" w:type="pct"/>
            <w:shd w:val="clear" w:color="auto" w:fill="auto"/>
            <w:vAlign w:val="center"/>
          </w:tcPr>
          <w:p w14:paraId="79FDA498">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万平方米</w:t>
            </w:r>
          </w:p>
        </w:tc>
        <w:tc>
          <w:tcPr>
            <w:tcW w:w="776" w:type="pct"/>
            <w:shd w:val="clear" w:color="auto" w:fill="auto"/>
            <w:vAlign w:val="center"/>
          </w:tcPr>
          <w:p w14:paraId="1681AFA6">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[4417]</w:t>
            </w:r>
          </w:p>
        </w:tc>
        <w:tc>
          <w:tcPr>
            <w:tcW w:w="770" w:type="pct"/>
            <w:shd w:val="clear" w:color="auto" w:fill="auto"/>
            <w:vAlign w:val="center"/>
          </w:tcPr>
          <w:p w14:paraId="77FCE3C3">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[3300]</w:t>
            </w:r>
          </w:p>
        </w:tc>
        <w:tc>
          <w:tcPr>
            <w:tcW w:w="560" w:type="pct"/>
            <w:shd w:val="clear" w:color="auto" w:fill="auto"/>
            <w:vAlign w:val="center"/>
          </w:tcPr>
          <w:p w14:paraId="02A81BDB">
            <w:pPr>
              <w:bidi w:val="0"/>
              <w:adjustRightInd w:val="0"/>
              <w:snapToGrid w:val="0"/>
              <w:spacing w:beforeLines="0" w:afterLines="0" w:line="240" w:lineRule="auto"/>
              <w:ind w:firstLine="0" w:firstLineChars="0"/>
              <w:jc w:val="center"/>
              <w:rPr>
                <w:rFonts w:hint="default" w:cs="Times New Roman"/>
                <w:sz w:val="24"/>
                <w:szCs w:val="24"/>
                <w:highlight w:val="none"/>
              </w:rPr>
            </w:pPr>
            <w:r>
              <w:rPr>
                <w:rFonts w:hint="eastAsia" w:cs="Times New Roman"/>
                <w:sz w:val="24"/>
                <w:szCs w:val="24"/>
                <w:highlight w:val="none"/>
              </w:rPr>
              <w:t>预期性</w:t>
            </w:r>
          </w:p>
        </w:tc>
      </w:tr>
      <w:tr w14:paraId="502D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67" w:hRule="atLeast"/>
        </w:trPr>
        <w:tc>
          <w:tcPr>
            <w:tcW w:w="415" w:type="pct"/>
            <w:vMerge w:val="continue"/>
            <w:shd w:val="clear" w:color="auto" w:fill="auto"/>
            <w:vAlign w:val="center"/>
          </w:tcPr>
          <w:p w14:paraId="1197927C">
            <w:pPr>
              <w:bidi w:val="0"/>
              <w:adjustRightInd w:val="0"/>
              <w:snapToGrid w:val="0"/>
              <w:spacing w:beforeLines="0" w:afterLines="0" w:line="240" w:lineRule="auto"/>
              <w:ind w:firstLine="0" w:firstLineChars="0"/>
              <w:jc w:val="center"/>
              <w:rPr>
                <w:rFonts w:hint="eastAsia" w:cs="Times New Roman"/>
                <w:sz w:val="24"/>
                <w:szCs w:val="24"/>
                <w:highlight w:val="none"/>
                <w:lang w:val="en-US" w:eastAsia="zh-CN"/>
              </w:rPr>
            </w:pPr>
          </w:p>
        </w:tc>
        <w:tc>
          <w:tcPr>
            <w:tcW w:w="1905" w:type="pct"/>
            <w:vMerge w:val="continue"/>
            <w:shd w:val="clear" w:color="auto" w:fill="auto"/>
            <w:vAlign w:val="center"/>
          </w:tcPr>
          <w:p w14:paraId="716AE09C">
            <w:pPr>
              <w:bidi w:val="0"/>
              <w:adjustRightInd w:val="0"/>
              <w:snapToGrid w:val="0"/>
              <w:spacing w:beforeLines="0" w:afterLines="0" w:line="240" w:lineRule="auto"/>
              <w:ind w:firstLine="0" w:firstLineChars="0"/>
              <w:jc w:val="center"/>
              <w:rPr>
                <w:rFonts w:hint="eastAsia" w:cs="Times New Roman"/>
                <w:sz w:val="24"/>
                <w:szCs w:val="24"/>
                <w:highlight w:val="none"/>
                <w:lang w:val="en-US" w:eastAsia="zh-CN"/>
              </w:rPr>
            </w:pPr>
          </w:p>
        </w:tc>
        <w:tc>
          <w:tcPr>
            <w:tcW w:w="568" w:type="pct"/>
            <w:shd w:val="clear" w:color="auto" w:fill="auto"/>
            <w:vAlign w:val="center"/>
          </w:tcPr>
          <w:p w14:paraId="47F81B1E">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万套</w:t>
            </w:r>
          </w:p>
        </w:tc>
        <w:tc>
          <w:tcPr>
            <w:tcW w:w="776" w:type="pct"/>
            <w:shd w:val="clear" w:color="auto" w:fill="auto"/>
            <w:vAlign w:val="center"/>
          </w:tcPr>
          <w:p w14:paraId="527D59BC">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[37]</w:t>
            </w:r>
          </w:p>
        </w:tc>
        <w:tc>
          <w:tcPr>
            <w:tcW w:w="770" w:type="pct"/>
            <w:shd w:val="clear" w:color="auto" w:fill="auto"/>
            <w:vAlign w:val="center"/>
          </w:tcPr>
          <w:p w14:paraId="187F3FDC">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[28]</w:t>
            </w:r>
          </w:p>
        </w:tc>
        <w:tc>
          <w:tcPr>
            <w:tcW w:w="560" w:type="pct"/>
            <w:shd w:val="clear" w:color="auto" w:fill="auto"/>
            <w:vAlign w:val="center"/>
          </w:tcPr>
          <w:p w14:paraId="05347AA3">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rPr>
              <w:t>预期性</w:t>
            </w:r>
          </w:p>
        </w:tc>
      </w:tr>
      <w:tr w14:paraId="181A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90" w:hRule="atLeast"/>
        </w:trPr>
        <w:tc>
          <w:tcPr>
            <w:tcW w:w="415" w:type="pct"/>
            <w:vMerge w:val="continue"/>
            <w:shd w:val="clear" w:color="auto" w:fill="auto"/>
            <w:vAlign w:val="center"/>
          </w:tcPr>
          <w:p w14:paraId="5DDE2C8E">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vMerge w:val="restart"/>
            <w:shd w:val="clear" w:color="auto" w:fill="auto"/>
            <w:vAlign w:val="center"/>
          </w:tcPr>
          <w:p w14:paraId="32A1EAD2">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新建商品住房销售规模</w:t>
            </w:r>
          </w:p>
        </w:tc>
        <w:tc>
          <w:tcPr>
            <w:tcW w:w="568" w:type="pct"/>
            <w:shd w:val="clear" w:color="auto" w:fill="auto"/>
            <w:vAlign w:val="center"/>
          </w:tcPr>
          <w:p w14:paraId="4DA0C6E7">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万平方米</w:t>
            </w:r>
          </w:p>
        </w:tc>
        <w:tc>
          <w:tcPr>
            <w:tcW w:w="776" w:type="pct"/>
            <w:shd w:val="clear" w:color="auto" w:fill="auto"/>
            <w:vAlign w:val="center"/>
          </w:tcPr>
          <w:p w14:paraId="674F55F6">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[3390]</w:t>
            </w:r>
          </w:p>
        </w:tc>
        <w:tc>
          <w:tcPr>
            <w:tcW w:w="770" w:type="pct"/>
            <w:shd w:val="clear" w:color="auto" w:fill="auto"/>
            <w:vAlign w:val="center"/>
          </w:tcPr>
          <w:p w14:paraId="460E5EEF">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[2000]</w:t>
            </w:r>
          </w:p>
        </w:tc>
        <w:tc>
          <w:tcPr>
            <w:tcW w:w="560" w:type="pct"/>
            <w:shd w:val="clear" w:color="auto" w:fill="auto"/>
            <w:vAlign w:val="center"/>
          </w:tcPr>
          <w:p w14:paraId="1C15C6E4">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rPr>
              <w:t>预期性</w:t>
            </w:r>
          </w:p>
        </w:tc>
      </w:tr>
      <w:tr w14:paraId="5CBA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5BFB5CFA">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vMerge w:val="continue"/>
            <w:shd w:val="clear" w:color="auto" w:fill="auto"/>
            <w:vAlign w:val="center"/>
          </w:tcPr>
          <w:p w14:paraId="5518D6B3">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p>
        </w:tc>
        <w:tc>
          <w:tcPr>
            <w:tcW w:w="568" w:type="pct"/>
            <w:shd w:val="clear" w:color="auto" w:fill="auto"/>
            <w:vAlign w:val="center"/>
          </w:tcPr>
          <w:p w14:paraId="346A8F76">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万套</w:t>
            </w:r>
          </w:p>
        </w:tc>
        <w:tc>
          <w:tcPr>
            <w:tcW w:w="776" w:type="pct"/>
            <w:shd w:val="clear" w:color="auto" w:fill="auto"/>
            <w:vAlign w:val="center"/>
          </w:tcPr>
          <w:p w14:paraId="5D318302">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kern w:val="2"/>
                <w:sz w:val="24"/>
                <w:szCs w:val="24"/>
                <w:highlight w:val="none"/>
                <w:lang w:val="en-US" w:eastAsia="zh-CN" w:bidi="ar-SA"/>
              </w:rPr>
              <w:t>[28]</w:t>
            </w:r>
          </w:p>
        </w:tc>
        <w:tc>
          <w:tcPr>
            <w:tcW w:w="770" w:type="pct"/>
            <w:shd w:val="clear" w:color="auto" w:fill="auto"/>
            <w:vAlign w:val="center"/>
          </w:tcPr>
          <w:p w14:paraId="36C286D6">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[16]</w:t>
            </w:r>
          </w:p>
        </w:tc>
        <w:tc>
          <w:tcPr>
            <w:tcW w:w="560" w:type="pct"/>
            <w:shd w:val="clear" w:color="auto" w:fill="auto"/>
            <w:vAlign w:val="center"/>
          </w:tcPr>
          <w:p w14:paraId="0BB52FEF">
            <w:pPr>
              <w:bidi w:val="0"/>
              <w:adjustRightInd w:val="0"/>
              <w:snapToGrid w:val="0"/>
              <w:spacing w:beforeLines="0" w:afterLines="0" w:line="240" w:lineRule="auto"/>
              <w:ind w:firstLine="0" w:firstLineChars="0"/>
              <w:jc w:val="center"/>
              <w:rPr>
                <w:rFonts w:hint="default" w:cs="Times New Roman"/>
                <w:sz w:val="24"/>
                <w:szCs w:val="24"/>
                <w:highlight w:val="none"/>
              </w:rPr>
            </w:pPr>
            <w:r>
              <w:rPr>
                <w:rFonts w:hint="eastAsia" w:cs="Times New Roman"/>
                <w:sz w:val="24"/>
                <w:szCs w:val="24"/>
                <w:highlight w:val="none"/>
              </w:rPr>
              <w:t>预期性</w:t>
            </w:r>
          </w:p>
        </w:tc>
      </w:tr>
      <w:tr w14:paraId="1F2C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16B54BA3">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vMerge w:val="restart"/>
            <w:shd w:val="clear" w:color="auto" w:fill="auto"/>
            <w:vAlign w:val="center"/>
          </w:tcPr>
          <w:p w14:paraId="7C7AE8D9">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r>
              <w:rPr>
                <w:rFonts w:hint="eastAsia" w:cs="Times New Roman"/>
                <w:sz w:val="24"/>
                <w:szCs w:val="24"/>
                <w:highlight w:val="none"/>
                <w:lang w:val="en-US" w:eastAsia="zh-CN"/>
              </w:rPr>
              <w:t>批准预售商品住房规模</w:t>
            </w:r>
          </w:p>
        </w:tc>
        <w:tc>
          <w:tcPr>
            <w:tcW w:w="568" w:type="pct"/>
            <w:shd w:val="clear" w:color="auto" w:fill="auto"/>
            <w:vAlign w:val="center"/>
          </w:tcPr>
          <w:p w14:paraId="5952A509">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万平方米</w:t>
            </w:r>
          </w:p>
        </w:tc>
        <w:tc>
          <w:tcPr>
            <w:tcW w:w="776" w:type="pct"/>
            <w:shd w:val="clear" w:color="auto" w:fill="auto"/>
            <w:vAlign w:val="center"/>
          </w:tcPr>
          <w:p w14:paraId="0D5FCD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cs="Times New Roman"/>
                <w:sz w:val="24"/>
                <w:szCs w:val="24"/>
                <w:highlight w:val="none"/>
                <w:lang w:val="en-US" w:eastAsia="zh-CN"/>
              </w:rPr>
            </w:pPr>
            <w:r>
              <w:rPr>
                <w:rFonts w:hint="eastAsia" w:cs="Times New Roman"/>
                <w:kern w:val="2"/>
                <w:sz w:val="24"/>
                <w:szCs w:val="24"/>
                <w:highlight w:val="none"/>
                <w:lang w:val="en-US" w:eastAsia="zh-CN" w:bidi="ar-SA"/>
              </w:rPr>
              <w:t>——</w:t>
            </w:r>
          </w:p>
        </w:tc>
        <w:tc>
          <w:tcPr>
            <w:tcW w:w="770" w:type="pct"/>
            <w:shd w:val="clear" w:color="auto" w:fill="auto"/>
            <w:vAlign w:val="center"/>
          </w:tcPr>
          <w:p w14:paraId="15D68D5F">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[1600]</w:t>
            </w:r>
          </w:p>
        </w:tc>
        <w:tc>
          <w:tcPr>
            <w:tcW w:w="560" w:type="pct"/>
            <w:shd w:val="clear" w:color="auto" w:fill="auto"/>
            <w:vAlign w:val="center"/>
          </w:tcPr>
          <w:p w14:paraId="764E5BDF">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rPr>
              <w:t>预期性</w:t>
            </w:r>
          </w:p>
        </w:tc>
      </w:tr>
      <w:tr w14:paraId="414A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48445B1D">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vMerge w:val="continue"/>
            <w:shd w:val="clear" w:color="auto" w:fill="auto"/>
            <w:vAlign w:val="center"/>
          </w:tcPr>
          <w:p w14:paraId="3282A21E">
            <w:pPr>
              <w:bidi w:val="0"/>
              <w:adjustRightInd w:val="0"/>
              <w:snapToGrid w:val="0"/>
              <w:spacing w:beforeLines="0" w:afterLines="0" w:line="240" w:lineRule="auto"/>
              <w:ind w:firstLine="0" w:firstLineChars="0"/>
              <w:jc w:val="center"/>
              <w:rPr>
                <w:rFonts w:hint="default" w:eastAsia="仿宋_GB2312" w:cs="Times New Roman"/>
                <w:sz w:val="24"/>
                <w:szCs w:val="24"/>
                <w:highlight w:val="none"/>
                <w:lang w:val="en-US" w:eastAsia="zh-CN"/>
              </w:rPr>
            </w:pPr>
          </w:p>
        </w:tc>
        <w:tc>
          <w:tcPr>
            <w:tcW w:w="568" w:type="pct"/>
            <w:shd w:val="clear" w:color="auto" w:fill="auto"/>
            <w:vAlign w:val="center"/>
          </w:tcPr>
          <w:p w14:paraId="1BB3D60A">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万套</w:t>
            </w:r>
          </w:p>
        </w:tc>
        <w:tc>
          <w:tcPr>
            <w:tcW w:w="776" w:type="pct"/>
            <w:shd w:val="clear" w:color="auto" w:fill="auto"/>
            <w:vAlign w:val="center"/>
          </w:tcPr>
          <w:p w14:paraId="45AD755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cs="Times New Roman"/>
                <w:sz w:val="24"/>
                <w:szCs w:val="24"/>
                <w:highlight w:val="none"/>
                <w:lang w:val="en-US" w:eastAsia="zh-CN"/>
              </w:rPr>
            </w:pPr>
            <w:r>
              <w:rPr>
                <w:rFonts w:hint="eastAsia" w:cs="Times New Roman"/>
                <w:kern w:val="2"/>
                <w:sz w:val="24"/>
                <w:szCs w:val="24"/>
                <w:highlight w:val="none"/>
                <w:lang w:val="en-US" w:eastAsia="zh-CN" w:bidi="ar-SA"/>
              </w:rPr>
              <w:t>——</w:t>
            </w:r>
          </w:p>
        </w:tc>
        <w:tc>
          <w:tcPr>
            <w:tcW w:w="770" w:type="pct"/>
            <w:shd w:val="clear" w:color="auto" w:fill="auto"/>
            <w:vAlign w:val="center"/>
          </w:tcPr>
          <w:p w14:paraId="09399A17">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[13]</w:t>
            </w:r>
          </w:p>
        </w:tc>
        <w:tc>
          <w:tcPr>
            <w:tcW w:w="560" w:type="pct"/>
            <w:shd w:val="clear" w:color="auto" w:fill="auto"/>
            <w:vAlign w:val="center"/>
          </w:tcPr>
          <w:p w14:paraId="5EDC18BA">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rPr>
              <w:t>预期性</w:t>
            </w:r>
          </w:p>
        </w:tc>
      </w:tr>
      <w:tr w14:paraId="508D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258" w:hRule="atLeast"/>
        </w:trPr>
        <w:tc>
          <w:tcPr>
            <w:tcW w:w="415" w:type="pct"/>
            <w:vMerge w:val="restart"/>
            <w:shd w:val="clear" w:color="auto" w:fill="auto"/>
            <w:vAlign w:val="center"/>
          </w:tcPr>
          <w:p w14:paraId="3FEE2DB4">
            <w:pPr>
              <w:bidi w:val="0"/>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保障水平不断提高</w:t>
            </w:r>
          </w:p>
        </w:tc>
        <w:tc>
          <w:tcPr>
            <w:tcW w:w="1905" w:type="pct"/>
            <w:shd w:val="clear" w:color="auto" w:fill="auto"/>
            <w:vAlign w:val="center"/>
          </w:tcPr>
          <w:p w14:paraId="3400F1A3">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建设筹集公租房规模</w:t>
            </w:r>
          </w:p>
        </w:tc>
        <w:tc>
          <w:tcPr>
            <w:tcW w:w="568" w:type="pct"/>
            <w:shd w:val="clear" w:color="auto" w:fill="auto"/>
            <w:vAlign w:val="center"/>
          </w:tcPr>
          <w:p w14:paraId="4D38C088">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w:t>
            </w:r>
            <w:r>
              <w:rPr>
                <w:rFonts w:hint="eastAsia" w:cs="Times New Roman"/>
                <w:sz w:val="24"/>
                <w:szCs w:val="24"/>
                <w:highlight w:val="none"/>
              </w:rPr>
              <w:t>套</w:t>
            </w:r>
          </w:p>
        </w:tc>
        <w:tc>
          <w:tcPr>
            <w:tcW w:w="776" w:type="pct"/>
            <w:shd w:val="clear" w:color="auto" w:fill="auto"/>
            <w:vAlign w:val="center"/>
          </w:tcPr>
          <w:p w14:paraId="566AEC7C">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w:t>
            </w:r>
          </w:p>
        </w:tc>
        <w:tc>
          <w:tcPr>
            <w:tcW w:w="770" w:type="pct"/>
            <w:shd w:val="clear" w:color="auto" w:fill="auto"/>
            <w:vAlign w:val="center"/>
          </w:tcPr>
          <w:p w14:paraId="50E9895B">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w:t>
            </w:r>
          </w:p>
        </w:tc>
        <w:tc>
          <w:tcPr>
            <w:tcW w:w="560" w:type="pct"/>
            <w:shd w:val="clear" w:color="auto" w:fill="auto"/>
            <w:vAlign w:val="center"/>
          </w:tcPr>
          <w:p w14:paraId="38942F18">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预期性</w:t>
            </w:r>
          </w:p>
        </w:tc>
      </w:tr>
      <w:tr w14:paraId="14AB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3616D99E">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4E5EA33D">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rPr>
              <w:t>建设筹集保障性租赁住房</w:t>
            </w:r>
          </w:p>
          <w:p w14:paraId="48B46120">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规模</w:t>
            </w:r>
          </w:p>
        </w:tc>
        <w:tc>
          <w:tcPr>
            <w:tcW w:w="568" w:type="pct"/>
            <w:shd w:val="clear" w:color="auto" w:fill="auto"/>
            <w:vAlign w:val="center"/>
          </w:tcPr>
          <w:p w14:paraId="54CDED69">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w:t>
            </w:r>
            <w:r>
              <w:rPr>
                <w:rFonts w:hint="eastAsia" w:cs="Times New Roman"/>
                <w:sz w:val="24"/>
                <w:szCs w:val="24"/>
                <w:highlight w:val="none"/>
              </w:rPr>
              <w:t>套</w:t>
            </w:r>
            <w:r>
              <w:rPr>
                <w:rFonts w:hint="eastAsia" w:cs="Times New Roman"/>
                <w:sz w:val="24"/>
                <w:szCs w:val="24"/>
                <w:highlight w:val="none"/>
                <w:lang w:eastAsia="zh-CN"/>
              </w:rPr>
              <w:t>（</w:t>
            </w:r>
            <w:r>
              <w:rPr>
                <w:rFonts w:hint="eastAsia" w:cs="Times New Roman"/>
                <w:sz w:val="24"/>
                <w:szCs w:val="24"/>
                <w:highlight w:val="none"/>
              </w:rPr>
              <w:t>间</w:t>
            </w:r>
            <w:r>
              <w:rPr>
                <w:rFonts w:hint="eastAsia" w:cs="Times New Roman"/>
                <w:sz w:val="24"/>
                <w:szCs w:val="24"/>
                <w:highlight w:val="none"/>
                <w:lang w:eastAsia="zh-CN"/>
              </w:rPr>
              <w:t>）</w:t>
            </w:r>
          </w:p>
        </w:tc>
        <w:tc>
          <w:tcPr>
            <w:tcW w:w="776" w:type="pct"/>
            <w:shd w:val="clear" w:color="auto" w:fill="auto"/>
            <w:vAlign w:val="center"/>
          </w:tcPr>
          <w:p w14:paraId="43A8630B">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[4.1]</w:t>
            </w:r>
          </w:p>
        </w:tc>
        <w:tc>
          <w:tcPr>
            <w:tcW w:w="770" w:type="pct"/>
            <w:shd w:val="clear" w:color="auto" w:fill="auto"/>
            <w:vAlign w:val="center"/>
          </w:tcPr>
          <w:p w14:paraId="27C818AA">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[0.4]</w:t>
            </w:r>
          </w:p>
        </w:tc>
        <w:tc>
          <w:tcPr>
            <w:tcW w:w="560" w:type="pct"/>
            <w:shd w:val="clear" w:color="auto" w:fill="auto"/>
            <w:vAlign w:val="center"/>
          </w:tcPr>
          <w:p w14:paraId="293A1653">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预期性</w:t>
            </w:r>
          </w:p>
        </w:tc>
      </w:tr>
      <w:tr w14:paraId="56C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05BECBDE">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68BC63D6">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建设筹集配售型保障性住房规模</w:t>
            </w:r>
          </w:p>
        </w:tc>
        <w:tc>
          <w:tcPr>
            <w:tcW w:w="568" w:type="pct"/>
            <w:shd w:val="clear" w:color="auto" w:fill="auto"/>
            <w:vAlign w:val="center"/>
          </w:tcPr>
          <w:p w14:paraId="5FC3EB97">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万</w:t>
            </w:r>
            <w:r>
              <w:rPr>
                <w:rFonts w:hint="eastAsia" w:cs="Times New Roman"/>
                <w:sz w:val="24"/>
                <w:szCs w:val="24"/>
                <w:highlight w:val="none"/>
              </w:rPr>
              <w:t>套</w:t>
            </w:r>
          </w:p>
        </w:tc>
        <w:tc>
          <w:tcPr>
            <w:tcW w:w="776" w:type="pct"/>
            <w:shd w:val="clear" w:color="auto" w:fill="auto"/>
            <w:vAlign w:val="center"/>
          </w:tcPr>
          <w:p w14:paraId="114D976C">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[0.19]</w:t>
            </w:r>
          </w:p>
        </w:tc>
        <w:tc>
          <w:tcPr>
            <w:tcW w:w="770" w:type="pct"/>
            <w:shd w:val="clear" w:color="auto" w:fill="auto"/>
            <w:vAlign w:val="center"/>
          </w:tcPr>
          <w:p w14:paraId="14B99503">
            <w:pPr>
              <w:bidi w:val="0"/>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w:t>
            </w:r>
          </w:p>
        </w:tc>
        <w:tc>
          <w:tcPr>
            <w:tcW w:w="560" w:type="pct"/>
            <w:shd w:val="clear" w:color="auto" w:fill="auto"/>
            <w:vAlign w:val="center"/>
          </w:tcPr>
          <w:p w14:paraId="5C0183BA">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预期性</w:t>
            </w:r>
          </w:p>
        </w:tc>
      </w:tr>
      <w:tr w14:paraId="19B9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44E36340">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3D135675">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ascii="Times New Roman" w:hAnsi="Times New Roman" w:cs="Times New Roman"/>
                <w:sz w:val="24"/>
                <w:szCs w:val="24"/>
                <w:highlight w:val="none"/>
              </w:rPr>
              <w:t>新增</w:t>
            </w:r>
            <w:r>
              <w:rPr>
                <w:rFonts w:hint="eastAsia" w:ascii="Times New Roman" w:hAnsi="Times New Roman" w:cs="Times New Roman"/>
                <w:sz w:val="24"/>
                <w:szCs w:val="24"/>
                <w:highlight w:val="none"/>
                <w:lang w:eastAsia="zh-CN"/>
              </w:rPr>
              <w:t>住房</w:t>
            </w:r>
            <w:r>
              <w:rPr>
                <w:rFonts w:hint="eastAsia" w:ascii="Times New Roman" w:hAnsi="Times New Roman" w:cs="Times New Roman"/>
                <w:sz w:val="24"/>
                <w:szCs w:val="24"/>
                <w:highlight w:val="none"/>
              </w:rPr>
              <w:t>保障人群规模</w:t>
            </w:r>
          </w:p>
        </w:tc>
        <w:tc>
          <w:tcPr>
            <w:tcW w:w="568" w:type="pct"/>
            <w:shd w:val="clear" w:color="auto" w:fill="auto"/>
            <w:vAlign w:val="center"/>
          </w:tcPr>
          <w:p w14:paraId="3B552F2E">
            <w:pPr>
              <w:bidi w:val="0"/>
              <w:adjustRightInd w:val="0"/>
              <w:snapToGrid w:val="0"/>
              <w:spacing w:beforeLines="0" w:afterLines="0" w:line="240" w:lineRule="auto"/>
              <w:ind w:firstLine="0" w:firstLineChars="0"/>
              <w:jc w:val="center"/>
              <w:rPr>
                <w:rFonts w:hint="eastAsia" w:cs="Times New Roman"/>
                <w:color w:val="auto"/>
                <w:kern w:val="2"/>
                <w:sz w:val="24"/>
                <w:szCs w:val="24"/>
                <w:highlight w:val="none"/>
                <w:lang w:val="en-US" w:eastAsia="zh-CN"/>
              </w:rPr>
            </w:pPr>
            <w:r>
              <w:rPr>
                <w:rFonts w:hint="eastAsia" w:ascii="Times New Roman" w:hAnsi="Times New Roman" w:cs="Times New Roman"/>
                <w:sz w:val="24"/>
                <w:szCs w:val="24"/>
                <w:highlight w:val="none"/>
              </w:rPr>
              <w:t>万户</w:t>
            </w:r>
          </w:p>
        </w:tc>
        <w:tc>
          <w:tcPr>
            <w:tcW w:w="776" w:type="pct"/>
            <w:shd w:val="clear" w:color="auto" w:fill="auto"/>
            <w:vAlign w:val="center"/>
          </w:tcPr>
          <w:p w14:paraId="40776252">
            <w:pPr>
              <w:bidi w:val="0"/>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1.398</w:t>
            </w:r>
            <w:r>
              <w:rPr>
                <w:rFonts w:hint="eastAsia" w:cs="Times New Roman"/>
                <w:sz w:val="24"/>
                <w:szCs w:val="24"/>
                <w:highlight w:val="none"/>
                <w:lang w:val="en-US" w:eastAsia="zh-CN"/>
              </w:rPr>
              <w:t>]</w:t>
            </w:r>
          </w:p>
        </w:tc>
        <w:tc>
          <w:tcPr>
            <w:tcW w:w="770" w:type="pct"/>
            <w:shd w:val="clear" w:color="auto" w:fill="auto"/>
            <w:vAlign w:val="center"/>
          </w:tcPr>
          <w:p w14:paraId="290F9291">
            <w:pPr>
              <w:bidi w:val="0"/>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2</w:t>
            </w:r>
            <w:r>
              <w:rPr>
                <w:rFonts w:hint="eastAsia" w:cs="Times New Roman"/>
                <w:sz w:val="24"/>
                <w:szCs w:val="24"/>
                <w:highlight w:val="none"/>
                <w:lang w:val="en-US" w:eastAsia="zh-CN"/>
              </w:rPr>
              <w:t>]</w:t>
            </w:r>
          </w:p>
        </w:tc>
        <w:tc>
          <w:tcPr>
            <w:tcW w:w="560" w:type="pct"/>
            <w:shd w:val="clear" w:color="auto" w:fill="auto"/>
            <w:vAlign w:val="center"/>
          </w:tcPr>
          <w:p w14:paraId="60A14AE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sz w:val="24"/>
                <w:szCs w:val="24"/>
                <w:highlight w:val="none"/>
              </w:rPr>
            </w:pPr>
            <w:r>
              <w:rPr>
                <w:rFonts w:hint="eastAsia" w:cs="Times New Roman"/>
                <w:sz w:val="24"/>
                <w:szCs w:val="24"/>
                <w:highlight w:val="none"/>
              </w:rPr>
              <w:t>预期性</w:t>
            </w:r>
          </w:p>
        </w:tc>
      </w:tr>
      <w:tr w14:paraId="28C5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154D1E5C">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33ED152E">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ascii="Times New Roman" w:hAnsi="Times New Roman" w:cs="Times New Roman"/>
                <w:sz w:val="24"/>
                <w:szCs w:val="24"/>
                <w:highlight w:val="none"/>
              </w:rPr>
              <w:t>保障性住房建设与筹集资金投入</w:t>
            </w:r>
          </w:p>
        </w:tc>
        <w:tc>
          <w:tcPr>
            <w:tcW w:w="568" w:type="pct"/>
            <w:shd w:val="clear" w:color="auto" w:fill="auto"/>
            <w:vAlign w:val="center"/>
          </w:tcPr>
          <w:p w14:paraId="6043A764">
            <w:pPr>
              <w:bidi w:val="0"/>
              <w:adjustRightInd w:val="0"/>
              <w:snapToGrid w:val="0"/>
              <w:spacing w:beforeLines="0" w:afterLines="0" w:line="240" w:lineRule="auto"/>
              <w:ind w:firstLine="0" w:firstLineChars="0"/>
              <w:jc w:val="center"/>
              <w:rPr>
                <w:rFonts w:hint="eastAsia" w:cs="Times New Roman"/>
                <w:color w:val="auto"/>
                <w:kern w:val="2"/>
                <w:sz w:val="24"/>
                <w:szCs w:val="24"/>
                <w:highlight w:val="none"/>
                <w:lang w:val="en-US" w:eastAsia="zh-CN"/>
              </w:rPr>
            </w:pPr>
            <w:r>
              <w:rPr>
                <w:rFonts w:hint="eastAsia" w:cs="Times New Roman"/>
                <w:sz w:val="24"/>
                <w:szCs w:val="24"/>
                <w:highlight w:val="none"/>
                <w:lang w:val="en-US" w:eastAsia="zh-CN"/>
              </w:rPr>
              <w:t>亿</w:t>
            </w:r>
            <w:r>
              <w:rPr>
                <w:rFonts w:hint="eastAsia" w:ascii="Times New Roman" w:hAnsi="Times New Roman" w:cs="Times New Roman"/>
                <w:sz w:val="24"/>
                <w:szCs w:val="24"/>
                <w:highlight w:val="none"/>
              </w:rPr>
              <w:t>元</w:t>
            </w:r>
          </w:p>
        </w:tc>
        <w:tc>
          <w:tcPr>
            <w:tcW w:w="776" w:type="pct"/>
            <w:shd w:val="clear" w:color="auto" w:fill="auto"/>
            <w:vAlign w:val="center"/>
          </w:tcPr>
          <w:p w14:paraId="3A43C65D">
            <w:pPr>
              <w:bidi w:val="0"/>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76</w:t>
            </w: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69</w:t>
            </w:r>
            <w:r>
              <w:rPr>
                <w:rFonts w:hint="eastAsia" w:cs="Times New Roman"/>
                <w:sz w:val="24"/>
                <w:szCs w:val="24"/>
                <w:highlight w:val="none"/>
                <w:lang w:val="en-US" w:eastAsia="zh-CN"/>
              </w:rPr>
              <w:t>]</w:t>
            </w:r>
          </w:p>
        </w:tc>
        <w:tc>
          <w:tcPr>
            <w:tcW w:w="770" w:type="pct"/>
            <w:shd w:val="clear" w:color="auto" w:fill="auto"/>
            <w:vAlign w:val="center"/>
          </w:tcPr>
          <w:p w14:paraId="6FE226CB">
            <w:pPr>
              <w:bidi w:val="0"/>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val="en-US" w:eastAsia="zh-CN"/>
              </w:rPr>
              <w:t>80</w:t>
            </w:r>
            <w:r>
              <w:rPr>
                <w:rFonts w:hint="eastAsia" w:cs="Times New Roman"/>
                <w:sz w:val="24"/>
                <w:szCs w:val="24"/>
                <w:highlight w:val="none"/>
                <w:lang w:val="en-US" w:eastAsia="zh-CN"/>
              </w:rPr>
              <w:t>]</w:t>
            </w:r>
          </w:p>
        </w:tc>
        <w:tc>
          <w:tcPr>
            <w:tcW w:w="560" w:type="pct"/>
            <w:shd w:val="clear" w:color="auto" w:fill="auto"/>
            <w:vAlign w:val="center"/>
          </w:tcPr>
          <w:p w14:paraId="70720D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cs="Times New Roman"/>
                <w:sz w:val="24"/>
                <w:szCs w:val="24"/>
                <w:highlight w:val="none"/>
              </w:rPr>
            </w:pPr>
            <w:r>
              <w:rPr>
                <w:rFonts w:hint="eastAsia" w:cs="Times New Roman"/>
                <w:sz w:val="24"/>
                <w:szCs w:val="24"/>
                <w:highlight w:val="none"/>
              </w:rPr>
              <w:t>预期性</w:t>
            </w:r>
          </w:p>
        </w:tc>
      </w:tr>
      <w:tr w14:paraId="5C96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1A77DFAA">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2FFD0C85">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住房公积金实缴人数</w:t>
            </w:r>
          </w:p>
        </w:tc>
        <w:tc>
          <w:tcPr>
            <w:tcW w:w="568" w:type="pct"/>
            <w:shd w:val="clear" w:color="auto" w:fill="auto"/>
            <w:vAlign w:val="center"/>
          </w:tcPr>
          <w:p w14:paraId="19C6034A">
            <w:pPr>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color w:val="auto"/>
                <w:kern w:val="2"/>
                <w:sz w:val="24"/>
                <w:szCs w:val="24"/>
                <w:highlight w:val="none"/>
                <w:lang w:val="en-US" w:eastAsia="zh-CN"/>
              </w:rPr>
              <w:t>万</w:t>
            </w:r>
            <w:r>
              <w:rPr>
                <w:rFonts w:hint="eastAsia" w:cs="Times New Roman"/>
                <w:color w:val="auto"/>
                <w:kern w:val="2"/>
                <w:sz w:val="24"/>
                <w:szCs w:val="24"/>
                <w:highlight w:val="none"/>
              </w:rPr>
              <w:t>人</w:t>
            </w:r>
          </w:p>
        </w:tc>
        <w:tc>
          <w:tcPr>
            <w:tcW w:w="776" w:type="pct"/>
            <w:shd w:val="clear" w:color="auto" w:fill="auto"/>
            <w:vAlign w:val="center"/>
          </w:tcPr>
          <w:p w14:paraId="2FD8953A">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48.1</w:t>
            </w:r>
          </w:p>
        </w:tc>
        <w:tc>
          <w:tcPr>
            <w:tcW w:w="770" w:type="pct"/>
            <w:shd w:val="clear" w:color="auto" w:fill="auto"/>
            <w:vAlign w:val="center"/>
          </w:tcPr>
          <w:p w14:paraId="10D74B16">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50</w:t>
            </w:r>
          </w:p>
        </w:tc>
        <w:tc>
          <w:tcPr>
            <w:tcW w:w="560" w:type="pct"/>
            <w:shd w:val="clear" w:color="auto" w:fill="auto"/>
            <w:vAlign w:val="center"/>
          </w:tcPr>
          <w:p w14:paraId="3C802AD9">
            <w:pPr>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预期性</w:t>
            </w:r>
          </w:p>
        </w:tc>
      </w:tr>
      <w:tr w14:paraId="45B8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restart"/>
            <w:shd w:val="clear" w:color="auto" w:fill="auto"/>
            <w:vAlign w:val="center"/>
          </w:tcPr>
          <w:p w14:paraId="4FC21DE2">
            <w:pPr>
              <w:bidi w:val="0"/>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sz w:val="24"/>
                <w:szCs w:val="24"/>
                <w:highlight w:val="none"/>
                <w:lang w:val="en-US" w:eastAsia="zh-CN"/>
              </w:rPr>
              <w:t>住区更新稳步推进</w:t>
            </w:r>
          </w:p>
        </w:tc>
        <w:tc>
          <w:tcPr>
            <w:tcW w:w="1905" w:type="pct"/>
            <w:shd w:val="clear" w:color="auto" w:fill="auto"/>
            <w:vAlign w:val="center"/>
          </w:tcPr>
          <w:p w14:paraId="2059D19F">
            <w:pPr>
              <w:bidi w:val="0"/>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城中村改造居民户数</w:t>
            </w:r>
          </w:p>
        </w:tc>
        <w:tc>
          <w:tcPr>
            <w:tcW w:w="568" w:type="pct"/>
            <w:shd w:val="clear" w:color="auto" w:fill="auto"/>
            <w:vAlign w:val="center"/>
          </w:tcPr>
          <w:p w14:paraId="5C44C08B">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color w:val="auto"/>
                <w:kern w:val="2"/>
                <w:sz w:val="24"/>
                <w:szCs w:val="24"/>
                <w:highlight w:val="none"/>
                <w:lang w:val="en-US" w:eastAsia="zh-CN"/>
              </w:rPr>
              <w:t>万</w:t>
            </w:r>
            <w:r>
              <w:rPr>
                <w:rFonts w:hint="eastAsia" w:cs="Times New Roman"/>
                <w:color w:val="auto"/>
                <w:kern w:val="2"/>
                <w:sz w:val="24"/>
                <w:szCs w:val="24"/>
                <w:highlight w:val="none"/>
              </w:rPr>
              <w:t>户</w:t>
            </w:r>
          </w:p>
        </w:tc>
        <w:tc>
          <w:tcPr>
            <w:tcW w:w="776" w:type="pct"/>
            <w:shd w:val="clear" w:color="auto" w:fill="auto"/>
            <w:vAlign w:val="center"/>
          </w:tcPr>
          <w:p w14:paraId="499299B7">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[14.77]</w:t>
            </w:r>
          </w:p>
        </w:tc>
        <w:tc>
          <w:tcPr>
            <w:tcW w:w="770" w:type="pct"/>
            <w:shd w:val="clear" w:color="auto" w:fill="auto"/>
            <w:vAlign w:val="center"/>
          </w:tcPr>
          <w:p w14:paraId="607FD59B">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[2.25]</w:t>
            </w:r>
          </w:p>
        </w:tc>
        <w:tc>
          <w:tcPr>
            <w:tcW w:w="560" w:type="pct"/>
            <w:shd w:val="clear" w:color="auto" w:fill="auto"/>
            <w:vAlign w:val="center"/>
          </w:tcPr>
          <w:p w14:paraId="1F7C8125">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预期性</w:t>
            </w:r>
          </w:p>
        </w:tc>
      </w:tr>
      <w:tr w14:paraId="039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202" w:hRule="atLeast"/>
        </w:trPr>
        <w:tc>
          <w:tcPr>
            <w:tcW w:w="415" w:type="pct"/>
            <w:vMerge w:val="continue"/>
            <w:shd w:val="clear" w:color="auto" w:fill="auto"/>
            <w:vAlign w:val="center"/>
          </w:tcPr>
          <w:p w14:paraId="1A26216A">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09C74FCC">
            <w:pPr>
              <w:bidi w:val="0"/>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城市危旧房改造套（间）数</w:t>
            </w:r>
          </w:p>
        </w:tc>
        <w:tc>
          <w:tcPr>
            <w:tcW w:w="568" w:type="pct"/>
            <w:shd w:val="clear" w:color="auto" w:fill="auto"/>
            <w:vAlign w:val="center"/>
          </w:tcPr>
          <w:p w14:paraId="298B9CAC">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color w:val="auto"/>
                <w:kern w:val="2"/>
                <w:sz w:val="24"/>
                <w:szCs w:val="24"/>
                <w:highlight w:val="none"/>
              </w:rPr>
              <w:t>套/间</w:t>
            </w:r>
          </w:p>
        </w:tc>
        <w:tc>
          <w:tcPr>
            <w:tcW w:w="776" w:type="pct"/>
            <w:shd w:val="clear" w:color="auto" w:fill="auto"/>
            <w:vAlign w:val="center"/>
          </w:tcPr>
          <w:p w14:paraId="3FC03F95">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[3150]</w:t>
            </w:r>
          </w:p>
        </w:tc>
        <w:tc>
          <w:tcPr>
            <w:tcW w:w="770" w:type="pct"/>
            <w:shd w:val="clear" w:color="auto" w:fill="auto"/>
            <w:vAlign w:val="center"/>
          </w:tcPr>
          <w:p w14:paraId="31CEF801">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[3000]</w:t>
            </w:r>
          </w:p>
        </w:tc>
        <w:tc>
          <w:tcPr>
            <w:tcW w:w="560" w:type="pct"/>
            <w:shd w:val="clear" w:color="auto" w:fill="auto"/>
            <w:vAlign w:val="center"/>
          </w:tcPr>
          <w:p w14:paraId="5490F389">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约束性</w:t>
            </w:r>
          </w:p>
        </w:tc>
      </w:tr>
      <w:tr w14:paraId="2604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22C15EDC">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7C5FAFD0">
            <w:pPr>
              <w:bidi w:val="0"/>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城镇老旧小区改造规模</w:t>
            </w:r>
          </w:p>
        </w:tc>
        <w:tc>
          <w:tcPr>
            <w:tcW w:w="568" w:type="pct"/>
            <w:shd w:val="clear" w:color="auto" w:fill="auto"/>
            <w:vAlign w:val="center"/>
          </w:tcPr>
          <w:p w14:paraId="1A7CE171">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个</w:t>
            </w:r>
          </w:p>
        </w:tc>
        <w:tc>
          <w:tcPr>
            <w:tcW w:w="776" w:type="pct"/>
            <w:shd w:val="clear" w:color="auto" w:fill="auto"/>
            <w:vAlign w:val="center"/>
          </w:tcPr>
          <w:p w14:paraId="2B52B1C5">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w:t>
            </w:r>
            <w:r>
              <w:rPr>
                <w:rFonts w:hint="default" w:cs="Times New Roman"/>
                <w:kern w:val="2"/>
                <w:sz w:val="24"/>
                <w:szCs w:val="24"/>
                <w:highlight w:val="none"/>
                <w:lang w:val="en-US" w:eastAsia="zh-CN" w:bidi="ar-SA"/>
              </w:rPr>
              <w:t>1714</w:t>
            </w:r>
            <w:r>
              <w:rPr>
                <w:rFonts w:hint="eastAsia" w:cs="Times New Roman"/>
                <w:kern w:val="2"/>
                <w:sz w:val="24"/>
                <w:szCs w:val="24"/>
                <w:highlight w:val="none"/>
                <w:lang w:val="en-US" w:eastAsia="zh-CN" w:bidi="ar-SA"/>
              </w:rPr>
              <w:t>]</w:t>
            </w:r>
          </w:p>
        </w:tc>
        <w:tc>
          <w:tcPr>
            <w:tcW w:w="770" w:type="pct"/>
            <w:shd w:val="clear" w:color="auto" w:fill="auto"/>
            <w:vAlign w:val="center"/>
          </w:tcPr>
          <w:p w14:paraId="7775B48D">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[131]</w:t>
            </w:r>
          </w:p>
        </w:tc>
        <w:tc>
          <w:tcPr>
            <w:tcW w:w="560" w:type="pct"/>
            <w:shd w:val="clear" w:color="auto" w:fill="auto"/>
            <w:vAlign w:val="center"/>
          </w:tcPr>
          <w:p w14:paraId="43DE0C35">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预期性</w:t>
            </w:r>
          </w:p>
        </w:tc>
      </w:tr>
      <w:tr w14:paraId="6CC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3" w:type="pct"/>
          <w:trHeight w:val="90" w:hRule="atLeast"/>
        </w:trPr>
        <w:tc>
          <w:tcPr>
            <w:tcW w:w="415" w:type="pct"/>
            <w:vMerge w:val="restart"/>
            <w:shd w:val="clear" w:color="auto" w:fill="auto"/>
            <w:vAlign w:val="center"/>
          </w:tcPr>
          <w:p w14:paraId="3565720C">
            <w:pPr>
              <w:bidi w:val="0"/>
              <w:adjustRightInd w:val="0"/>
              <w:snapToGrid w:val="0"/>
              <w:spacing w:beforeLines="0" w:afterLines="0" w:line="240" w:lineRule="auto"/>
              <w:ind w:firstLine="0" w:firstLineChars="0"/>
              <w:jc w:val="center"/>
              <w:rPr>
                <w:rFonts w:hint="default" w:cs="Times New Roman"/>
                <w:sz w:val="24"/>
                <w:szCs w:val="24"/>
                <w:highlight w:val="none"/>
              </w:rPr>
            </w:pPr>
            <w:r>
              <w:rPr>
                <w:rFonts w:hint="eastAsia" w:cs="Times New Roman"/>
                <w:sz w:val="24"/>
                <w:szCs w:val="24"/>
                <w:highlight w:val="none"/>
                <w:lang w:val="en-US" w:eastAsia="zh-CN"/>
              </w:rPr>
              <w:t>居住品质服务提升</w:t>
            </w:r>
          </w:p>
        </w:tc>
        <w:tc>
          <w:tcPr>
            <w:tcW w:w="1905" w:type="pct"/>
            <w:shd w:val="clear" w:color="auto" w:fill="auto"/>
            <w:vAlign w:val="center"/>
          </w:tcPr>
          <w:p w14:paraId="4B816F4A">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highlight w:val="none"/>
              </w:rPr>
              <w:t>城镇住宅小区物业管理覆盖率</w:t>
            </w:r>
          </w:p>
        </w:tc>
        <w:tc>
          <w:tcPr>
            <w:tcW w:w="568" w:type="pct"/>
            <w:shd w:val="clear" w:color="auto" w:fill="auto"/>
            <w:vAlign w:val="center"/>
          </w:tcPr>
          <w:p w14:paraId="5E1B66DE">
            <w:pPr>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lang w:val="en-US" w:eastAsia="zh-CN"/>
              </w:rPr>
              <w:t>%</w:t>
            </w:r>
          </w:p>
        </w:tc>
        <w:tc>
          <w:tcPr>
            <w:tcW w:w="776" w:type="pct"/>
            <w:shd w:val="clear" w:color="auto" w:fill="auto"/>
            <w:vAlign w:val="center"/>
          </w:tcPr>
          <w:p w14:paraId="21EB3E14">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91</w:t>
            </w:r>
          </w:p>
        </w:tc>
        <w:tc>
          <w:tcPr>
            <w:tcW w:w="770" w:type="pct"/>
            <w:shd w:val="clear" w:color="auto" w:fill="auto"/>
            <w:vAlign w:val="center"/>
          </w:tcPr>
          <w:p w14:paraId="5AF1B00B">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w:t>
            </w:r>
          </w:p>
        </w:tc>
        <w:tc>
          <w:tcPr>
            <w:tcW w:w="560" w:type="pct"/>
            <w:shd w:val="clear" w:color="auto" w:fill="auto"/>
            <w:vAlign w:val="center"/>
          </w:tcPr>
          <w:p w14:paraId="6CA50717">
            <w:pPr>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预期性</w:t>
            </w:r>
          </w:p>
        </w:tc>
      </w:tr>
      <w:tr w14:paraId="1AAA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3F1971B8">
            <w:pPr>
              <w:bidi w:val="0"/>
              <w:adjustRightInd w:val="0"/>
              <w:snapToGrid w:val="0"/>
              <w:spacing w:beforeLines="0" w:afterLines="0" w:line="240" w:lineRule="auto"/>
              <w:ind w:firstLine="0" w:firstLineChars="0"/>
              <w:jc w:val="center"/>
              <w:rPr>
                <w:rFonts w:hint="eastAsia" w:cs="Times New Roman"/>
                <w:sz w:val="24"/>
                <w:szCs w:val="24"/>
                <w:highlight w:val="none"/>
                <w:lang w:val="en-US" w:eastAsia="zh-CN"/>
              </w:rPr>
            </w:pPr>
          </w:p>
        </w:tc>
        <w:tc>
          <w:tcPr>
            <w:tcW w:w="1905" w:type="pct"/>
            <w:shd w:val="clear" w:color="auto" w:fill="auto"/>
            <w:vAlign w:val="center"/>
          </w:tcPr>
          <w:p w14:paraId="485C793C">
            <w:pPr>
              <w:bidi w:val="0"/>
              <w:adjustRightInd w:val="0"/>
              <w:snapToGrid w:val="0"/>
              <w:spacing w:beforeLines="0" w:afterLines="0" w:line="240" w:lineRule="auto"/>
              <w:ind w:firstLine="0" w:firstLineChars="0"/>
              <w:jc w:val="center"/>
              <w:rPr>
                <w:rFonts w:hint="eastAsia" w:cs="Times New Roman"/>
                <w:sz w:val="24"/>
                <w:szCs w:val="24"/>
                <w:highlight w:val="none"/>
                <w:lang w:val="en-US" w:eastAsia="zh-CN"/>
              </w:rPr>
            </w:pPr>
            <w:r>
              <w:rPr>
                <w:rFonts w:hint="eastAsia" w:cs="Times New Roman"/>
                <w:sz w:val="24"/>
                <w:szCs w:val="24"/>
                <w:highlight w:val="none"/>
                <w:lang w:val="en-US" w:eastAsia="zh-CN"/>
              </w:rPr>
              <w:t>城镇住宅小区自治组织</w:t>
            </w:r>
          </w:p>
          <w:p w14:paraId="24938474">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lang w:val="en-US" w:eastAsia="zh-CN"/>
              </w:rPr>
              <w:t>组建率</w:t>
            </w:r>
          </w:p>
        </w:tc>
        <w:tc>
          <w:tcPr>
            <w:tcW w:w="568" w:type="pct"/>
            <w:shd w:val="clear" w:color="auto" w:fill="auto"/>
            <w:vAlign w:val="center"/>
          </w:tcPr>
          <w:p w14:paraId="0B0CE2D6">
            <w:pPr>
              <w:adjustRightInd w:val="0"/>
              <w:snapToGrid w:val="0"/>
              <w:spacing w:beforeLines="0" w:afterLines="0" w:line="240" w:lineRule="auto"/>
              <w:ind w:firstLine="0" w:firstLineChars="0"/>
              <w:jc w:val="center"/>
              <w:rPr>
                <w:rFonts w:hint="eastAsia" w:cs="Times New Roman"/>
                <w:sz w:val="24"/>
                <w:szCs w:val="24"/>
                <w:highlight w:val="none"/>
                <w:lang w:val="en-US" w:eastAsia="zh-CN"/>
              </w:rPr>
            </w:pPr>
            <w:r>
              <w:rPr>
                <w:rFonts w:hint="eastAsia" w:cs="Times New Roman"/>
                <w:sz w:val="24"/>
                <w:szCs w:val="24"/>
                <w:highlight w:val="none"/>
                <w:lang w:val="en-US" w:eastAsia="zh-CN"/>
              </w:rPr>
              <w:t>%</w:t>
            </w:r>
          </w:p>
        </w:tc>
        <w:tc>
          <w:tcPr>
            <w:tcW w:w="776" w:type="pct"/>
            <w:shd w:val="clear" w:color="auto" w:fill="auto"/>
            <w:vAlign w:val="center"/>
          </w:tcPr>
          <w:p w14:paraId="6D1B1F0A">
            <w:pPr>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92</w:t>
            </w:r>
          </w:p>
        </w:tc>
        <w:tc>
          <w:tcPr>
            <w:tcW w:w="770" w:type="pct"/>
            <w:shd w:val="clear" w:color="auto" w:fill="auto"/>
            <w:vAlign w:val="center"/>
          </w:tcPr>
          <w:p w14:paraId="59286628">
            <w:pPr>
              <w:adjustRightInd w:val="0"/>
              <w:snapToGrid w:val="0"/>
              <w:spacing w:beforeLines="0" w:afterLines="0" w:line="240" w:lineRule="auto"/>
              <w:ind w:firstLine="0" w:firstLineChars="0"/>
              <w:jc w:val="center"/>
              <w:rPr>
                <w:rFonts w:hint="eastAsia" w:cs="Times New Roman"/>
                <w:kern w:val="2"/>
                <w:sz w:val="24"/>
                <w:szCs w:val="24"/>
                <w:highlight w:val="none"/>
                <w:lang w:val="en-US" w:eastAsia="zh-CN" w:bidi="ar-SA"/>
              </w:rPr>
            </w:pPr>
            <w:r>
              <w:rPr>
                <w:rFonts w:hint="eastAsia" w:cs="Times New Roman"/>
                <w:sz w:val="24"/>
                <w:szCs w:val="24"/>
                <w:highlight w:val="none"/>
                <w:lang w:val="en-US" w:eastAsia="zh-CN"/>
              </w:rPr>
              <w:t>100</w:t>
            </w:r>
          </w:p>
        </w:tc>
        <w:tc>
          <w:tcPr>
            <w:tcW w:w="560" w:type="pct"/>
            <w:shd w:val="clear" w:color="auto" w:fill="auto"/>
            <w:vAlign w:val="center"/>
          </w:tcPr>
          <w:p w14:paraId="239B4EB0">
            <w:pPr>
              <w:adjustRightInd w:val="0"/>
              <w:snapToGrid w:val="0"/>
              <w:spacing w:beforeLines="0" w:afterLines="0" w:line="240" w:lineRule="auto"/>
              <w:ind w:firstLine="0" w:firstLineChars="0"/>
              <w:jc w:val="center"/>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预期性</w:t>
            </w:r>
          </w:p>
        </w:tc>
      </w:tr>
      <w:tr w14:paraId="798A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6F8B7EC4">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2893B56B">
            <w:pPr>
              <w:bidi w:val="0"/>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cs="Times New Roman"/>
                <w:sz w:val="24"/>
                <w:szCs w:val="24"/>
                <w:highlight w:val="none"/>
              </w:rPr>
              <w:t>城市完整社区</w:t>
            </w:r>
            <w:r>
              <w:rPr>
                <w:rFonts w:hint="eastAsia" w:cs="Times New Roman"/>
                <w:sz w:val="24"/>
                <w:szCs w:val="24"/>
                <w:highlight w:val="none"/>
                <w:lang w:val="en-US" w:eastAsia="zh-CN"/>
              </w:rPr>
              <w:t>个数</w:t>
            </w:r>
          </w:p>
        </w:tc>
        <w:tc>
          <w:tcPr>
            <w:tcW w:w="568" w:type="pct"/>
            <w:shd w:val="clear" w:color="auto" w:fill="auto"/>
            <w:vAlign w:val="center"/>
          </w:tcPr>
          <w:p w14:paraId="3C3F9013">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个</w:t>
            </w:r>
          </w:p>
        </w:tc>
        <w:tc>
          <w:tcPr>
            <w:tcW w:w="776" w:type="pct"/>
            <w:shd w:val="clear" w:color="auto" w:fill="auto"/>
            <w:vAlign w:val="center"/>
          </w:tcPr>
          <w:p w14:paraId="07B95D3B">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7</w:t>
            </w:r>
          </w:p>
        </w:tc>
        <w:tc>
          <w:tcPr>
            <w:tcW w:w="770" w:type="pct"/>
            <w:shd w:val="clear" w:color="auto" w:fill="auto"/>
            <w:vAlign w:val="center"/>
          </w:tcPr>
          <w:p w14:paraId="5184CB17">
            <w:pPr>
              <w:adjustRightInd w:val="0"/>
              <w:snapToGrid w:val="0"/>
              <w:spacing w:beforeLines="0" w:afterLines="0" w:line="240" w:lineRule="auto"/>
              <w:ind w:firstLine="0" w:firstLineChars="0"/>
              <w:jc w:val="center"/>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50</w:t>
            </w:r>
          </w:p>
        </w:tc>
        <w:tc>
          <w:tcPr>
            <w:tcW w:w="560" w:type="pct"/>
            <w:shd w:val="clear" w:color="auto" w:fill="auto"/>
            <w:vAlign w:val="center"/>
          </w:tcPr>
          <w:p w14:paraId="177C5668">
            <w:pPr>
              <w:adjustRightInd w:val="0"/>
              <w:snapToGrid w:val="0"/>
              <w:spacing w:beforeLines="0" w:afterLines="0" w:line="240" w:lineRule="auto"/>
              <w:ind w:firstLine="0" w:firstLineChars="0"/>
              <w:jc w:val="center"/>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预期性</w:t>
            </w:r>
          </w:p>
        </w:tc>
      </w:tr>
      <w:tr w14:paraId="16C0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 w:type="pct"/>
          <w:trHeight w:val="303" w:hRule="atLeast"/>
        </w:trPr>
        <w:tc>
          <w:tcPr>
            <w:tcW w:w="415" w:type="pct"/>
            <w:vMerge w:val="continue"/>
            <w:shd w:val="clear" w:color="auto" w:fill="auto"/>
            <w:vAlign w:val="center"/>
          </w:tcPr>
          <w:p w14:paraId="24FD0249">
            <w:pPr>
              <w:bidi w:val="0"/>
              <w:adjustRightInd w:val="0"/>
              <w:snapToGrid w:val="0"/>
              <w:spacing w:beforeLines="0" w:afterLines="0" w:line="240" w:lineRule="auto"/>
              <w:ind w:firstLine="0" w:firstLineChars="0"/>
              <w:jc w:val="center"/>
              <w:rPr>
                <w:rFonts w:hint="default" w:cs="Times New Roman"/>
                <w:sz w:val="24"/>
                <w:szCs w:val="24"/>
                <w:highlight w:val="none"/>
              </w:rPr>
            </w:pPr>
          </w:p>
        </w:tc>
        <w:tc>
          <w:tcPr>
            <w:tcW w:w="1905" w:type="pct"/>
            <w:shd w:val="clear" w:color="auto" w:fill="auto"/>
            <w:vAlign w:val="center"/>
          </w:tcPr>
          <w:p w14:paraId="2E807382">
            <w:pPr>
              <w:bidi w:val="0"/>
              <w:adjustRightInd w:val="0"/>
              <w:snapToGrid w:val="0"/>
              <w:spacing w:beforeLines="0" w:afterLines="0" w:line="240" w:lineRule="auto"/>
              <w:ind w:firstLine="0" w:firstLineChars="0"/>
              <w:jc w:val="center"/>
              <w:rPr>
                <w:rFonts w:hint="eastAsia" w:cs="Times New Roman"/>
                <w:sz w:val="24"/>
                <w:szCs w:val="24"/>
                <w:highlight w:val="none"/>
              </w:rPr>
            </w:pPr>
            <w:r>
              <w:rPr>
                <w:rFonts w:hint="eastAsia" w:cs="Times New Roman"/>
                <w:sz w:val="24"/>
                <w:szCs w:val="24"/>
                <w:highlight w:val="none"/>
                <w:lang w:eastAsia="zh-CN"/>
              </w:rPr>
              <w:t>“</w:t>
            </w:r>
            <w:r>
              <w:rPr>
                <w:rFonts w:hint="eastAsia" w:cs="Times New Roman"/>
                <w:sz w:val="24"/>
                <w:szCs w:val="24"/>
                <w:highlight w:val="none"/>
              </w:rPr>
              <w:t>好房子</w:t>
            </w:r>
            <w:r>
              <w:rPr>
                <w:rFonts w:hint="eastAsia" w:cs="Times New Roman"/>
                <w:sz w:val="24"/>
                <w:szCs w:val="24"/>
                <w:highlight w:val="none"/>
                <w:lang w:eastAsia="zh-CN"/>
              </w:rPr>
              <w:t>”</w:t>
            </w:r>
            <w:r>
              <w:rPr>
                <w:rFonts w:hint="eastAsia" w:cs="Times New Roman"/>
                <w:sz w:val="24"/>
                <w:szCs w:val="24"/>
                <w:highlight w:val="none"/>
              </w:rPr>
              <w:t>示范</w:t>
            </w:r>
            <w:r>
              <w:rPr>
                <w:rFonts w:hint="eastAsia" w:cs="Times New Roman"/>
                <w:sz w:val="24"/>
                <w:szCs w:val="24"/>
                <w:highlight w:val="none"/>
                <w:lang w:val="en-US" w:eastAsia="zh-CN"/>
              </w:rPr>
              <w:t>项目</w:t>
            </w:r>
          </w:p>
        </w:tc>
        <w:tc>
          <w:tcPr>
            <w:tcW w:w="568" w:type="pct"/>
            <w:shd w:val="clear" w:color="auto" w:fill="auto"/>
            <w:vAlign w:val="center"/>
          </w:tcPr>
          <w:p w14:paraId="57E42A22">
            <w:pPr>
              <w:adjustRightInd w:val="0"/>
              <w:snapToGrid w:val="0"/>
              <w:spacing w:beforeLines="0" w:afterLines="0" w:line="240" w:lineRule="auto"/>
              <w:ind w:firstLine="0" w:firstLineChars="0"/>
              <w:jc w:val="center"/>
              <w:rPr>
                <w:rFonts w:hint="eastAsia" w:cs="Times New Roman"/>
                <w:kern w:val="2"/>
                <w:sz w:val="24"/>
                <w:szCs w:val="24"/>
                <w:highlight w:val="none"/>
                <w:lang w:val="en-US" w:eastAsia="zh-CN" w:bidi="ar-SA"/>
              </w:rPr>
            </w:pPr>
            <w:r>
              <w:rPr>
                <w:rFonts w:hint="eastAsia" w:cs="Times New Roman"/>
                <w:sz w:val="24"/>
                <w:szCs w:val="24"/>
                <w:highlight w:val="none"/>
                <w:lang w:val="en-US" w:eastAsia="zh-CN"/>
              </w:rPr>
              <w:t>个</w:t>
            </w:r>
          </w:p>
        </w:tc>
        <w:tc>
          <w:tcPr>
            <w:tcW w:w="776" w:type="pct"/>
            <w:shd w:val="clear" w:color="auto" w:fill="auto"/>
            <w:vAlign w:val="center"/>
          </w:tcPr>
          <w:p w14:paraId="472FB60C">
            <w:pPr>
              <w:adjustRightInd w:val="0"/>
              <w:snapToGrid w:val="0"/>
              <w:spacing w:beforeLines="0" w:afterLines="0" w:line="240" w:lineRule="auto"/>
              <w:ind w:firstLine="0" w:firstLineChars="0"/>
              <w:jc w:val="center"/>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12</w:t>
            </w:r>
          </w:p>
        </w:tc>
        <w:tc>
          <w:tcPr>
            <w:tcW w:w="770" w:type="pct"/>
            <w:shd w:val="clear" w:color="auto" w:fill="auto"/>
            <w:vAlign w:val="center"/>
          </w:tcPr>
          <w:p w14:paraId="6410CA9F">
            <w:pPr>
              <w:adjustRightInd w:val="0"/>
              <w:snapToGrid w:val="0"/>
              <w:spacing w:beforeLines="0" w:afterLines="0" w:line="240" w:lineRule="auto"/>
              <w:ind w:firstLine="0" w:firstLineChars="0"/>
              <w:jc w:val="center"/>
              <w:rPr>
                <w:rFonts w:hint="default" w:cs="Times New Roman"/>
                <w:sz w:val="24"/>
                <w:szCs w:val="24"/>
                <w:highlight w:val="none"/>
                <w:lang w:val="en-US" w:eastAsia="zh-CN"/>
              </w:rPr>
            </w:pPr>
            <w:r>
              <w:rPr>
                <w:rFonts w:hint="eastAsia" w:cs="Times New Roman"/>
                <w:kern w:val="2"/>
                <w:sz w:val="24"/>
                <w:szCs w:val="24"/>
                <w:highlight w:val="none"/>
                <w:lang w:val="en-US" w:eastAsia="zh-CN" w:bidi="ar-SA"/>
              </w:rPr>
              <w:t>10-15</w:t>
            </w:r>
          </w:p>
        </w:tc>
        <w:tc>
          <w:tcPr>
            <w:tcW w:w="560" w:type="pct"/>
            <w:shd w:val="clear" w:color="auto" w:fill="auto"/>
            <w:vAlign w:val="center"/>
          </w:tcPr>
          <w:p w14:paraId="37FDF077">
            <w:pPr>
              <w:adjustRightInd w:val="0"/>
              <w:snapToGrid w:val="0"/>
              <w:spacing w:beforeLines="0" w:afterLines="0" w:line="240" w:lineRule="auto"/>
              <w:ind w:firstLine="0" w:firstLineChars="0"/>
              <w:jc w:val="center"/>
              <w:rPr>
                <w:rFonts w:hint="eastAsia" w:ascii="Times New Roman" w:hAnsi="Times New Roman" w:cs="Times New Roman"/>
                <w:sz w:val="24"/>
                <w:szCs w:val="24"/>
                <w:highlight w:val="none"/>
                <w:lang w:val="en-US" w:eastAsia="zh-CN"/>
              </w:rPr>
            </w:pPr>
            <w:r>
              <w:rPr>
                <w:rFonts w:hint="eastAsia" w:cs="Times New Roman"/>
                <w:sz w:val="24"/>
                <w:szCs w:val="24"/>
                <w:highlight w:val="none"/>
                <w:lang w:val="en-US" w:eastAsia="zh-CN"/>
              </w:rPr>
              <w:t>预期性</w:t>
            </w:r>
          </w:p>
        </w:tc>
      </w:tr>
    </w:tbl>
    <w:p w14:paraId="0B304E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highlight w:val="none"/>
          <w:lang w:val="en-US" w:eastAsia="zh-CN"/>
        </w:rPr>
      </w:pPr>
      <w:r>
        <w:rPr>
          <w:rFonts w:hint="eastAsia"/>
          <w:sz w:val="24"/>
          <w:szCs w:val="24"/>
          <w:highlight w:val="none"/>
          <w:lang w:val="en-US" w:eastAsia="zh-CN"/>
        </w:rPr>
        <w:t>注：[]表示累计值</w:t>
      </w:r>
    </w:p>
    <w:p w14:paraId="19932F41">
      <w:pPr>
        <w:pStyle w:val="3"/>
        <w:bidi w:val="0"/>
        <w:rPr>
          <w:rFonts w:hint="default"/>
          <w:highlight w:val="none"/>
          <w:lang w:val="en-US" w:eastAsia="zh-CN"/>
        </w:rPr>
      </w:pPr>
      <w:bookmarkStart w:id="236" w:name="_Toc31412"/>
      <w:bookmarkStart w:id="237" w:name="_Toc18267"/>
      <w:bookmarkStart w:id="238" w:name="_Toc7728"/>
      <w:bookmarkStart w:id="239" w:name="_Toc18083"/>
      <w:bookmarkStart w:id="240" w:name="_Toc19921"/>
      <w:bookmarkStart w:id="241" w:name="_Toc8454"/>
      <w:bookmarkStart w:id="242" w:name="_Toc19824"/>
      <w:bookmarkStart w:id="243" w:name="_Toc8642"/>
      <w:bookmarkStart w:id="244" w:name="_Toc30856"/>
      <w:bookmarkStart w:id="245" w:name="_Toc11605"/>
      <w:bookmarkStart w:id="246" w:name="_Toc27895"/>
      <w:bookmarkStart w:id="247" w:name="_Toc29480"/>
      <w:bookmarkStart w:id="248" w:name="_Toc25985"/>
      <w:bookmarkStart w:id="249" w:name="_Toc20622"/>
      <w:bookmarkStart w:id="250" w:name="_Toc32391"/>
      <w:bookmarkStart w:id="251" w:name="_Toc31706"/>
      <w:bookmarkStart w:id="252" w:name="_Toc6462"/>
      <w:bookmarkStart w:id="253" w:name="_Toc14489"/>
      <w:r>
        <w:rPr>
          <w:rFonts w:hint="eastAsia"/>
          <w:highlight w:val="none"/>
          <w:lang w:val="en-US" w:eastAsia="zh-CN"/>
        </w:rPr>
        <w:t>三、主要任务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48A3EDE">
      <w:pPr>
        <w:pStyle w:val="4"/>
        <w:bidi w:val="0"/>
        <w:rPr>
          <w:rFonts w:hint="eastAsia"/>
          <w:highlight w:val="none"/>
          <w:lang w:val="en-US" w:eastAsia="zh-CN"/>
        </w:rPr>
      </w:pPr>
      <w:bookmarkStart w:id="254" w:name="_Toc29019"/>
      <w:bookmarkStart w:id="255" w:name="_Toc17674"/>
      <w:bookmarkStart w:id="256" w:name="_Toc27951"/>
      <w:bookmarkStart w:id="257" w:name="_Toc5420"/>
      <w:bookmarkStart w:id="258" w:name="_Toc27183"/>
      <w:bookmarkStart w:id="259" w:name="_Toc31883"/>
      <w:bookmarkStart w:id="260" w:name="_Toc4687"/>
      <w:bookmarkStart w:id="261" w:name="_Toc27158"/>
      <w:bookmarkStart w:id="262" w:name="_Toc19180"/>
      <w:bookmarkStart w:id="263" w:name="_Toc19779"/>
      <w:bookmarkStart w:id="264" w:name="_Toc30861"/>
      <w:bookmarkStart w:id="265" w:name="_Toc29501"/>
      <w:bookmarkStart w:id="266" w:name="_Toc6392"/>
      <w:bookmarkStart w:id="267" w:name="_Toc4313"/>
      <w:bookmarkStart w:id="268" w:name="_Toc23795"/>
      <w:bookmarkStart w:id="269" w:name="_Toc28724"/>
      <w:bookmarkStart w:id="270" w:name="_Toc24963"/>
      <w:bookmarkStart w:id="271" w:name="_Toc20365"/>
      <w:bookmarkStart w:id="272" w:name="_Toc10725"/>
      <w:r>
        <w:rPr>
          <w:rFonts w:hint="eastAsia"/>
          <w:highlight w:val="none"/>
          <w:lang w:val="en-US" w:eastAsia="zh-CN"/>
        </w:rPr>
        <w:t>（一）</w:t>
      </w:r>
      <w:bookmarkEnd w:id="254"/>
      <w:bookmarkEnd w:id="255"/>
      <w:bookmarkEnd w:id="256"/>
      <w:bookmarkEnd w:id="257"/>
      <w:bookmarkEnd w:id="258"/>
      <w:bookmarkEnd w:id="259"/>
      <w:bookmarkEnd w:id="260"/>
      <w:bookmarkEnd w:id="261"/>
      <w:r>
        <w:rPr>
          <w:rFonts w:hint="eastAsia"/>
          <w:highlight w:val="none"/>
          <w:lang w:val="en-US" w:eastAsia="zh-CN"/>
        </w:rPr>
        <w:t>促进房地产市场平稳健康发展</w:t>
      </w:r>
      <w:bookmarkEnd w:id="262"/>
      <w:bookmarkEnd w:id="263"/>
      <w:bookmarkEnd w:id="264"/>
      <w:bookmarkEnd w:id="265"/>
      <w:bookmarkEnd w:id="266"/>
      <w:bookmarkEnd w:id="267"/>
      <w:bookmarkEnd w:id="268"/>
      <w:bookmarkEnd w:id="269"/>
      <w:bookmarkEnd w:id="270"/>
      <w:bookmarkEnd w:id="271"/>
      <w:bookmarkEnd w:id="272"/>
    </w:p>
    <w:p w14:paraId="139FC75B">
      <w:pPr>
        <w:pStyle w:val="5"/>
        <w:rPr>
          <w:rFonts w:hint="default" w:eastAsia="仿宋_GB2312"/>
          <w:highlight w:val="none"/>
          <w:lang w:val="en-US" w:eastAsia="zh-CN"/>
        </w:rPr>
      </w:pPr>
      <w:bookmarkStart w:id="273" w:name="_Toc9833"/>
      <w:bookmarkStart w:id="274" w:name="_Toc6563"/>
      <w:bookmarkStart w:id="275" w:name="_Toc7356"/>
      <w:bookmarkStart w:id="276" w:name="_Toc581"/>
      <w:r>
        <w:rPr>
          <w:rFonts w:hint="eastAsia"/>
          <w:highlight w:val="none"/>
          <w:lang w:val="en-US" w:eastAsia="zh-CN"/>
        </w:rPr>
        <w:t>1.</w:t>
      </w:r>
      <w:r>
        <w:rPr>
          <w:rFonts w:hint="eastAsia"/>
          <w:highlight w:val="none"/>
        </w:rPr>
        <w:t>优</w:t>
      </w:r>
      <w:r>
        <w:rPr>
          <w:rFonts w:hint="eastAsia"/>
          <w:highlight w:val="none"/>
          <w:lang w:val="en-US" w:eastAsia="zh-CN"/>
        </w:rPr>
        <w:t>化商品住房供给结构。</w:t>
      </w:r>
      <w:bookmarkEnd w:id="273"/>
      <w:bookmarkEnd w:id="274"/>
      <w:bookmarkEnd w:id="275"/>
      <w:bookmarkEnd w:id="276"/>
    </w:p>
    <w:p w14:paraId="5362C0FD">
      <w:pPr>
        <w:rPr>
          <w:rFonts w:hint="eastAsia"/>
          <w:highlight w:val="none"/>
        </w:rPr>
      </w:pPr>
      <w:r>
        <w:rPr>
          <w:rFonts w:hint="eastAsia"/>
          <w:highlight w:val="none"/>
        </w:rPr>
        <w:t>全面优化房地产供给体系，推动住房供给与人口结构、城市发展和市场需求相适配。</w:t>
      </w:r>
      <w:r>
        <w:rPr>
          <w:rFonts w:hint="eastAsia" w:hAnsi="仿宋" w:cs="仿宋"/>
          <w:color w:val="auto"/>
          <w:kern w:val="2"/>
          <w:szCs w:val="32"/>
          <w:highlight w:val="none"/>
          <w:lang w:val="en-US" w:eastAsia="zh-CN"/>
        </w:rPr>
        <w:t>合理</w:t>
      </w:r>
      <w:r>
        <w:rPr>
          <w:rFonts w:hint="eastAsia" w:ascii="Times New Roman" w:hAnsi="仿宋" w:cs="仿宋"/>
          <w:color w:val="auto"/>
          <w:kern w:val="2"/>
          <w:szCs w:val="32"/>
          <w:highlight w:val="none"/>
          <w:lang w:val="en-US" w:eastAsia="zh-CN"/>
        </w:rPr>
        <w:t>控制商品</w:t>
      </w:r>
      <w:r>
        <w:rPr>
          <w:rFonts w:hint="eastAsia" w:hAnsi="仿宋" w:cs="仿宋"/>
          <w:color w:val="auto"/>
          <w:kern w:val="2"/>
          <w:szCs w:val="32"/>
          <w:highlight w:val="none"/>
          <w:lang w:val="en-US" w:eastAsia="zh-CN"/>
        </w:rPr>
        <w:t>住房</w:t>
      </w:r>
      <w:r>
        <w:rPr>
          <w:rFonts w:hint="eastAsia" w:ascii="Times New Roman" w:hAnsi="仿宋" w:cs="仿宋"/>
          <w:color w:val="auto"/>
          <w:kern w:val="2"/>
          <w:szCs w:val="32"/>
          <w:highlight w:val="none"/>
          <w:lang w:val="en-US" w:eastAsia="zh-CN"/>
        </w:rPr>
        <w:t>新增建设规模，</w:t>
      </w:r>
      <w:r>
        <w:rPr>
          <w:rFonts w:hint="eastAsia"/>
          <w:highlight w:val="none"/>
        </w:rPr>
        <w:t>优化产品结构，避免区域内产品同质化竞争</w:t>
      </w:r>
      <w:r>
        <w:rPr>
          <w:rFonts w:hint="eastAsia"/>
          <w:highlight w:val="none"/>
          <w:lang w:val="en-US" w:eastAsia="zh-CN"/>
        </w:rPr>
        <w:t>，</w:t>
      </w:r>
      <w:r>
        <w:rPr>
          <w:rFonts w:hint="eastAsia"/>
          <w:highlight w:val="none"/>
        </w:rPr>
        <w:t>推行带方案出让，引导房企打造高品质、配套完善的改善</w:t>
      </w:r>
      <w:r>
        <w:rPr>
          <w:rFonts w:hint="eastAsia"/>
          <w:highlight w:val="none"/>
          <w:lang w:val="en-US" w:eastAsia="zh-CN"/>
        </w:rPr>
        <w:t>性</w:t>
      </w:r>
      <w:r>
        <w:rPr>
          <w:rFonts w:hint="eastAsia"/>
          <w:highlight w:val="none"/>
        </w:rPr>
        <w:t>住宅。</w:t>
      </w:r>
      <w:r>
        <w:rPr>
          <w:rFonts w:hint="eastAsia"/>
          <w:highlight w:val="none"/>
          <w:lang w:val="en-US" w:eastAsia="zh-CN"/>
        </w:rPr>
        <w:t>积极促进居民住房消费，支持刚性和改善性住房需求有序释放。</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5BA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0CA15E6">
            <w:pPr>
              <w:bidi w:val="0"/>
              <w:ind w:firstLine="0" w:firstLineChars="0"/>
              <w:jc w:val="center"/>
              <w:rPr>
                <w:rFonts w:hint="eastAsia" w:ascii="楷体_GB2312" w:hAnsi="楷体_GB2312" w:eastAsia="楷体_GB2312" w:cs="楷体_GB2312"/>
                <w:highlight w:val="none"/>
                <w:vertAlign w:val="baseline"/>
                <w:lang w:val="en-US" w:eastAsia="zh-CN"/>
              </w:rPr>
            </w:pPr>
            <w:r>
              <w:rPr>
                <w:rFonts w:hint="eastAsia" w:ascii="黑体" w:hAnsi="黑体" w:eastAsia="黑体" w:cs="黑体"/>
                <w:highlight w:val="none"/>
                <w:vertAlign w:val="baseline"/>
                <w:lang w:val="en-US" w:eastAsia="zh-CN"/>
              </w:rPr>
              <w:t>专栏1：促进住房消费工程</w:t>
            </w:r>
          </w:p>
        </w:tc>
      </w:tr>
      <w:tr w14:paraId="4F32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37F7072">
            <w:pPr>
              <w:bidi w:val="0"/>
              <w:ind w:firstLine="560"/>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目标：</w:t>
            </w:r>
            <w:r>
              <w:rPr>
                <w:rFonts w:hint="eastAsia" w:ascii="仿宋_GB2312" w:hAnsi="仿宋_GB2312" w:cs="仿宋_GB2312"/>
                <w:sz w:val="28"/>
                <w:szCs w:val="28"/>
                <w:highlight w:val="none"/>
              </w:rPr>
              <w:t>精准满足南阳市重点群体住房需求</w:t>
            </w:r>
            <w:r>
              <w:rPr>
                <w:rFonts w:hint="eastAsia" w:ascii="仿宋_GB2312" w:hAnsi="仿宋_GB2312" w:cs="仿宋_GB2312"/>
                <w:sz w:val="28"/>
                <w:szCs w:val="28"/>
                <w:highlight w:val="none"/>
                <w:lang w:eastAsia="zh-CN"/>
              </w:rPr>
              <w:t>。</w:t>
            </w:r>
          </w:p>
          <w:p w14:paraId="6C123B8A">
            <w:pPr>
              <w:ind w:firstLine="560" w:firstLineChars="200"/>
              <w:rPr>
                <w:rFonts w:hint="eastAsia" w:ascii="仿宋_GB2312" w:hAnsi="仿宋_GB2312" w:eastAsia="仿宋_GB2312" w:cs="仿宋_GB2312"/>
                <w:strike w:val="0"/>
                <w:sz w:val="28"/>
                <w:szCs w:val="28"/>
                <w:highlight w:val="none"/>
                <w:vertAlign w:val="baseline"/>
                <w:lang w:val="en-US" w:eastAsia="zh-CN"/>
              </w:rPr>
            </w:pPr>
            <w:r>
              <w:rPr>
                <w:rFonts w:hint="eastAsia" w:ascii="仿宋_GB2312" w:hAnsi="仿宋_GB2312" w:eastAsia="仿宋_GB2312" w:cs="仿宋_GB2312"/>
                <w:strike w:val="0"/>
                <w:sz w:val="28"/>
                <w:szCs w:val="28"/>
                <w:highlight w:val="none"/>
                <w:vertAlign w:val="baseline"/>
                <w:lang w:val="en-US" w:eastAsia="zh-CN"/>
              </w:rPr>
              <w:t>措施：</w:t>
            </w:r>
          </w:p>
          <w:p w14:paraId="0705790D">
            <w:pPr>
              <w:ind w:firstLine="562" w:firstLineChars="200"/>
              <w:rPr>
                <w:rFonts w:hint="eastAsia" w:ascii="仿宋_GB2312" w:hAnsi="仿宋_GB2312" w:cs="仿宋_GB2312"/>
                <w:sz w:val="28"/>
                <w:szCs w:val="28"/>
                <w:highlight w:val="none"/>
                <w:lang w:val="en-US" w:eastAsia="zh-CN"/>
              </w:rPr>
            </w:pPr>
            <w:r>
              <w:rPr>
                <w:rFonts w:hint="eastAsia" w:ascii="仿宋_GB2312" w:hAnsi="仿宋_GB2312" w:cs="仿宋_GB2312"/>
                <w:b/>
                <w:bCs/>
                <w:strike w:val="0"/>
                <w:sz w:val="28"/>
                <w:szCs w:val="28"/>
                <w:highlight w:val="none"/>
                <w:vertAlign w:val="baseline"/>
                <w:lang w:val="en-US" w:eastAsia="zh-CN"/>
              </w:rPr>
              <w:t>1.降低购房成本。</w:t>
            </w:r>
            <w:r>
              <w:rPr>
                <w:rFonts w:hint="eastAsia" w:ascii="仿宋_GB2312" w:hAnsi="仿宋_GB2312" w:cs="仿宋_GB2312"/>
                <w:sz w:val="28"/>
                <w:szCs w:val="28"/>
                <w:highlight w:val="none"/>
              </w:rPr>
              <w:t>全面落实国家、</w:t>
            </w:r>
            <w:r>
              <w:rPr>
                <w:rFonts w:hint="eastAsia" w:ascii="仿宋_GB2312" w:hAnsi="仿宋_GB2312" w:cs="仿宋_GB2312"/>
                <w:sz w:val="28"/>
                <w:szCs w:val="28"/>
                <w:highlight w:val="none"/>
                <w:lang w:val="en-US" w:eastAsia="zh-CN"/>
              </w:rPr>
              <w:t>省</w:t>
            </w:r>
            <w:r>
              <w:rPr>
                <w:rFonts w:hint="eastAsia" w:ascii="仿宋_GB2312" w:hAnsi="仿宋_GB2312" w:cs="仿宋_GB2312"/>
                <w:sz w:val="28"/>
                <w:szCs w:val="28"/>
                <w:highlight w:val="none"/>
              </w:rPr>
              <w:t>住房信贷、税费减免相关政策，结合南阳市场实际优化细化配套举措。</w:t>
            </w:r>
            <w:r>
              <w:rPr>
                <w:rFonts w:hint="eastAsia" w:ascii="仿宋_GB2312" w:hAnsi="仿宋_GB2312" w:cs="仿宋_GB2312"/>
                <w:b/>
                <w:bCs/>
                <w:sz w:val="28"/>
                <w:szCs w:val="28"/>
                <w:highlight w:val="none"/>
              </w:rPr>
              <w:t>落实落细住房交易税费优惠政策</w:t>
            </w:r>
            <w:r>
              <w:rPr>
                <w:rFonts w:hint="eastAsia" w:ascii="仿宋_GB2312" w:hAnsi="仿宋_GB2312" w:cs="仿宋_GB2312"/>
                <w:sz w:val="28"/>
                <w:szCs w:val="28"/>
                <w:highlight w:val="none"/>
              </w:rPr>
              <w:t>，延续实施住房交易契税减免、个税退税等政策，针对刚需购房、改善</w:t>
            </w:r>
            <w:r>
              <w:rPr>
                <w:rFonts w:hint="eastAsia" w:ascii="仿宋_GB2312" w:hAnsi="仿宋_GB2312" w:cs="仿宋_GB2312"/>
                <w:sz w:val="28"/>
                <w:szCs w:val="28"/>
                <w:highlight w:val="none"/>
                <w:lang w:val="en-US" w:eastAsia="zh-CN"/>
              </w:rPr>
              <w:t>性</w:t>
            </w:r>
            <w:r>
              <w:rPr>
                <w:rFonts w:hint="eastAsia" w:ascii="仿宋_GB2312" w:hAnsi="仿宋_GB2312" w:cs="仿宋_GB2312"/>
                <w:sz w:val="28"/>
                <w:szCs w:val="28"/>
                <w:highlight w:val="none"/>
              </w:rPr>
              <w:t>购房实行差异化税费减免标准，简化税费办理流程，推行线上一站式办理、税费并联审核。</w:t>
            </w:r>
            <w:r>
              <w:rPr>
                <w:rFonts w:hint="eastAsia" w:ascii="仿宋_GB2312" w:hAnsi="仿宋_GB2312" w:cs="仿宋_GB2312"/>
                <w:b/>
                <w:bCs/>
                <w:sz w:val="28"/>
                <w:szCs w:val="28"/>
                <w:highlight w:val="none"/>
              </w:rPr>
              <w:t>深化住房公积金惠民政策，</w:t>
            </w:r>
            <w:r>
              <w:rPr>
                <w:rFonts w:hint="eastAsia" w:ascii="仿宋_GB2312" w:hAnsi="仿宋_GB2312" w:cs="仿宋_GB2312"/>
                <w:sz w:val="28"/>
                <w:szCs w:val="28"/>
                <w:highlight w:val="none"/>
              </w:rPr>
              <w:t>优化公积金提取流程，支持提取公积金用于支付购房首付、偿还房贷、缴纳住房维修基金；降低公积金贷款准入门槛，放宽缴存时限要求，全力提升公积金贷款覆盖面与惠及力度。</w:t>
            </w:r>
            <w:r>
              <w:rPr>
                <w:rFonts w:hint="eastAsia" w:ascii="仿宋_GB2312" w:hAnsi="仿宋_GB2312" w:cs="仿宋_GB2312"/>
                <w:b/>
                <w:bCs/>
                <w:sz w:val="28"/>
                <w:szCs w:val="28"/>
                <w:highlight w:val="none"/>
              </w:rPr>
              <w:t>降低二手房交易成本，</w:t>
            </w:r>
            <w:r>
              <w:rPr>
                <w:rFonts w:hint="eastAsia" w:ascii="仿宋_GB2312" w:hAnsi="仿宋_GB2312" w:cs="仿宋_GB2312"/>
                <w:sz w:val="28"/>
                <w:szCs w:val="28"/>
                <w:highlight w:val="none"/>
              </w:rPr>
              <w:t>全面推行二手房“带押过户”常态化、一站式办理，整合不动产登记、银行、税务等多方流程，实现过户、抵押、放款同步办结，畅通二手房流通渠道。</w:t>
            </w:r>
          </w:p>
          <w:p w14:paraId="671918CA">
            <w:pPr>
              <w:ind w:firstLine="562" w:firstLineChars="200"/>
              <w:rPr>
                <w:rFonts w:hint="eastAsia" w:ascii="仿宋_GB2312" w:hAnsi="仿宋_GB2312" w:cs="仿宋_GB2312"/>
                <w:strike w:val="0"/>
                <w:sz w:val="28"/>
                <w:szCs w:val="28"/>
                <w:highlight w:val="none"/>
                <w:vertAlign w:val="baseline"/>
                <w:lang w:val="en-US" w:eastAsia="zh-CN"/>
              </w:rPr>
            </w:pPr>
            <w:r>
              <w:rPr>
                <w:rFonts w:hint="eastAsia" w:ascii="仿宋_GB2312" w:hAnsi="仿宋_GB2312" w:cs="仿宋_GB2312"/>
                <w:b/>
                <w:bCs/>
                <w:strike w:val="0"/>
                <w:sz w:val="28"/>
                <w:szCs w:val="28"/>
                <w:highlight w:val="none"/>
                <w:vertAlign w:val="baseline"/>
                <w:lang w:val="en-US" w:eastAsia="zh-CN"/>
              </w:rPr>
              <w:t>2.优化供给结构。</w:t>
            </w:r>
            <w:r>
              <w:rPr>
                <w:rFonts w:hint="eastAsia" w:ascii="仿宋_GB2312" w:hAnsi="仿宋_GB2312" w:cs="仿宋_GB2312"/>
                <w:b/>
                <w:bCs/>
                <w:sz w:val="28"/>
                <w:szCs w:val="28"/>
                <w:highlight w:val="none"/>
              </w:rPr>
              <w:t>优化新建商品住宅产品结构，</w:t>
            </w:r>
            <w:r>
              <w:rPr>
                <w:rFonts w:hint="eastAsia" w:ascii="仿宋_GB2312" w:hAnsi="仿宋_GB2312" w:cs="仿宋_GB2312"/>
                <w:sz w:val="28"/>
                <w:szCs w:val="28"/>
                <w:highlight w:val="none"/>
              </w:rPr>
              <w:t>避免区域内同质化竞争。推行住宅用地带方案出让模式，明确户型设计、建设标准、配套要求等核心内容，引导开发企业聚焦品质提升，打造高品质、配套完善、功能多元的改善</w:t>
            </w:r>
            <w:r>
              <w:rPr>
                <w:rFonts w:hint="eastAsia" w:ascii="仿宋_GB2312" w:hAnsi="仿宋_GB2312" w:cs="仿宋_GB2312"/>
                <w:sz w:val="28"/>
                <w:szCs w:val="28"/>
                <w:highlight w:val="none"/>
                <w:lang w:val="en-US" w:eastAsia="zh-CN"/>
              </w:rPr>
              <w:t>性</w:t>
            </w:r>
            <w:r>
              <w:rPr>
                <w:rFonts w:hint="eastAsia" w:ascii="仿宋_GB2312" w:hAnsi="仿宋_GB2312" w:cs="仿宋_GB2312"/>
                <w:sz w:val="28"/>
                <w:szCs w:val="28"/>
                <w:highlight w:val="none"/>
              </w:rPr>
              <w:t>住宅，兼顾多孩、老年、高端人才等群体的差异化居住需求。</w:t>
            </w:r>
            <w:r>
              <w:rPr>
                <w:rFonts w:hint="eastAsia" w:ascii="仿宋_GB2312" w:hAnsi="仿宋_GB2312" w:cs="仿宋_GB2312"/>
                <w:b/>
                <w:bCs/>
                <w:sz w:val="28"/>
                <w:szCs w:val="28"/>
                <w:highlight w:val="none"/>
              </w:rPr>
              <w:t>优化存量住房利用效率，</w:t>
            </w:r>
            <w:r>
              <w:rPr>
                <w:rFonts w:hint="eastAsia" w:ascii="仿宋_GB2312" w:hAnsi="仿宋_GB2312" w:cs="仿宋_GB2312"/>
                <w:sz w:val="28"/>
                <w:szCs w:val="28"/>
                <w:highlight w:val="none"/>
              </w:rPr>
              <w:t>搭建政府牵头、国企运营、中介参与的住房置换服务平台，打通存量房与新建商品住宅流通通道，支持市属国企市场化收购存量闲置住房改造为保障性租赁住房、人才公寓，缓解供需错配。</w:t>
            </w:r>
          </w:p>
          <w:p w14:paraId="789F94C7">
            <w:pPr>
              <w:ind w:firstLine="562" w:firstLineChars="200"/>
              <w:rPr>
                <w:rFonts w:hint="eastAsia"/>
                <w:highlight w:val="none"/>
                <w:lang w:val="en-US" w:eastAsia="zh-CN"/>
              </w:rPr>
            </w:pPr>
            <w:r>
              <w:rPr>
                <w:rFonts w:hint="eastAsia" w:ascii="仿宋_GB2312" w:hAnsi="仿宋_GB2312" w:cs="仿宋_GB2312"/>
                <w:b/>
                <w:bCs/>
                <w:strike w:val="0"/>
                <w:sz w:val="28"/>
                <w:szCs w:val="28"/>
                <w:highlight w:val="none"/>
                <w:vertAlign w:val="baseline"/>
                <w:lang w:val="en-US" w:eastAsia="zh-CN"/>
              </w:rPr>
              <w:t>3.</w:t>
            </w:r>
            <w:r>
              <w:rPr>
                <w:rFonts w:hint="eastAsia" w:ascii="仿宋_GB2312" w:hAnsi="仿宋_GB2312" w:cs="仿宋_GB2312"/>
                <w:b/>
                <w:bCs/>
                <w:sz w:val="28"/>
                <w:szCs w:val="28"/>
                <w:highlight w:val="none"/>
              </w:rPr>
              <w:t>聚焦重点群体，实施精准扩面施策</w:t>
            </w:r>
            <w:r>
              <w:rPr>
                <w:rFonts w:hint="eastAsia" w:ascii="仿宋_GB2312" w:hAnsi="仿宋_GB2312" w:cs="仿宋_GB2312"/>
                <w:b/>
                <w:bCs/>
                <w:strike w:val="0"/>
                <w:sz w:val="28"/>
                <w:szCs w:val="28"/>
                <w:highlight w:val="none"/>
                <w:vertAlign w:val="baseline"/>
                <w:lang w:val="en-US" w:eastAsia="zh-CN"/>
              </w:rPr>
              <w:t>。</w:t>
            </w:r>
            <w:r>
              <w:rPr>
                <w:rFonts w:hint="eastAsia" w:ascii="仿宋_GB2312" w:hAnsi="仿宋_GB2312" w:cs="仿宋_GB2312"/>
                <w:sz w:val="28"/>
                <w:szCs w:val="28"/>
                <w:highlight w:val="none"/>
              </w:rPr>
              <w:t>深入掌握返乡人员、进城务工人员</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新市民、青年人</w:t>
            </w:r>
            <w:r>
              <w:rPr>
                <w:rFonts w:hint="eastAsia" w:ascii="仿宋_GB2312" w:hAnsi="仿宋_GB2312" w:cs="仿宋_GB2312"/>
                <w:sz w:val="28"/>
                <w:szCs w:val="28"/>
                <w:highlight w:val="none"/>
              </w:rPr>
              <w:t>及多孩家庭等重点群体的居住、教育、创业和改善性需求，</w:t>
            </w:r>
            <w:r>
              <w:rPr>
                <w:rFonts w:hint="eastAsia" w:ascii="仿宋_GB2312" w:hAnsi="仿宋_GB2312" w:cs="仿宋_GB2312"/>
                <w:sz w:val="28"/>
                <w:szCs w:val="28"/>
                <w:highlight w:val="none"/>
                <w:lang w:val="en-US" w:eastAsia="zh-CN"/>
              </w:rPr>
              <w:t>制定更加精准的</w:t>
            </w:r>
            <w:r>
              <w:rPr>
                <w:rFonts w:hint="eastAsia" w:ascii="仿宋_GB2312" w:hAnsi="仿宋_GB2312" w:cs="仿宋_GB2312"/>
                <w:sz w:val="28"/>
                <w:szCs w:val="28"/>
                <w:highlight w:val="none"/>
              </w:rPr>
              <w:t>优惠政策，优先保障多孩家庭、老年群体享受“以旧换新、以小换大”政策红利，简化补贴申领流程，实现直达快享。健全配套权益保障机制，落实购房落户、随迁子女教育、医疗保障等配套政策，实现凭购房网签合同即可享受就近入学、社区公共服务等权益；搭建重点群体购房专属服务平台，开展线上线下房展会、置业推介会等活动，推送优质房源、政策解读，提供一站式置业服务，全力激活重点群体住房消费需求。</w:t>
            </w:r>
          </w:p>
        </w:tc>
      </w:tr>
    </w:tbl>
    <w:p w14:paraId="7BB37801">
      <w:pPr>
        <w:pStyle w:val="5"/>
        <w:widowControl w:val="0"/>
        <w:adjustRightInd/>
        <w:snapToGrid/>
        <w:spacing w:after="0"/>
        <w:ind w:firstLineChars="200"/>
        <w:rPr>
          <w:rFonts w:hint="eastAsia" w:hAnsi="Times New Roman" w:cstheme="minorBidi"/>
          <w:color w:val="auto"/>
          <w:kern w:val="2"/>
          <w:szCs w:val="24"/>
          <w:highlight w:val="none"/>
          <w:lang w:val="en-US" w:eastAsia="zh-CN"/>
        </w:rPr>
      </w:pPr>
      <w:bookmarkStart w:id="277" w:name="_Toc10326"/>
      <w:bookmarkStart w:id="278" w:name="_Toc25021"/>
      <w:bookmarkStart w:id="279" w:name="_Toc20669"/>
      <w:bookmarkStart w:id="280" w:name="_Toc1252"/>
      <w:bookmarkStart w:id="281" w:name="_Toc9475"/>
      <w:bookmarkStart w:id="282" w:name="_Toc26398"/>
      <w:r>
        <w:rPr>
          <w:rFonts w:hint="eastAsia"/>
          <w:bCs/>
          <w:highlight w:val="none"/>
          <w:lang w:val="en-US" w:eastAsia="zh-CN"/>
        </w:rPr>
        <w:t>2</w:t>
      </w:r>
      <w:r>
        <w:rPr>
          <w:rFonts w:hint="eastAsia" w:hAnsi="Times New Roman" w:cstheme="minorBidi"/>
          <w:color w:val="auto"/>
          <w:kern w:val="2"/>
          <w:szCs w:val="24"/>
          <w:highlight w:val="none"/>
          <w:lang w:val="en-US" w:eastAsia="zh-CN"/>
        </w:rPr>
        <w:t>.分类施策化解商品房库存。</w:t>
      </w:r>
      <w:bookmarkEnd w:id="277"/>
      <w:bookmarkEnd w:id="278"/>
      <w:bookmarkEnd w:id="279"/>
      <w:bookmarkEnd w:id="280"/>
      <w:bookmarkEnd w:id="281"/>
      <w:bookmarkEnd w:id="282"/>
    </w:p>
    <w:p w14:paraId="322DDF1F">
      <w:pPr>
        <w:widowControl w:val="0"/>
        <w:adjustRightInd/>
        <w:snapToGrid/>
        <w:spacing w:after="0" w:line="600" w:lineRule="exact"/>
        <w:ind w:firstLine="640" w:firstLineChars="200"/>
        <w:rPr>
          <w:rFonts w:hint="default" w:hAnsi="仿宋" w:cs="仿宋"/>
          <w:color w:val="auto"/>
          <w:szCs w:val="32"/>
          <w:highlight w:val="none"/>
        </w:rPr>
      </w:pPr>
      <w:r>
        <w:rPr>
          <w:rFonts w:hint="default" w:hAnsi="仿宋" w:cs="仿宋"/>
          <w:color w:val="auto"/>
          <w:szCs w:val="32"/>
          <w:highlight w:val="none"/>
        </w:rPr>
        <w:t>统筹推进存量商品住房盘活利用，支持将区位适宜、配套较为完善的存量商品住房通过收购、改造等方式，用作保障性住房、人才公寓、青年公寓、职工宿舍以及城中村和危旧房改造安置住房等，多渠道促进库存消化。支持各地结合产业发展和人口集聚需要，探索开展面向产业园区职工、高校教职工及学生等群体的住房筹集利用，提升存量住房利用效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82A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B42D92B">
            <w:pPr>
              <w:bidi w:val="0"/>
              <w:ind w:firstLine="0" w:firstLineChars="0"/>
              <w:jc w:val="center"/>
              <w:rPr>
                <w:rFonts w:hint="default" w:ascii="楷体_GB2312" w:hAnsi="楷体_GB2312" w:eastAsia="黑体" w:cs="楷体_GB2312"/>
                <w:highlight w:val="none"/>
                <w:vertAlign w:val="baseline"/>
                <w:lang w:val="en-US" w:eastAsia="zh-CN"/>
              </w:rPr>
            </w:pPr>
            <w:r>
              <w:rPr>
                <w:rFonts w:hint="eastAsia" w:ascii="黑体" w:hAnsi="黑体" w:eastAsia="黑体" w:cs="黑体"/>
                <w:highlight w:val="none"/>
                <w:vertAlign w:val="baseline"/>
                <w:lang w:val="en-US" w:eastAsia="zh-CN"/>
              </w:rPr>
              <w:t>专栏2：</w:t>
            </w:r>
            <w:r>
              <w:rPr>
                <w:rFonts w:hint="eastAsia" w:ascii="黑体" w:hAnsi="黑体" w:eastAsia="黑体" w:cs="黑体"/>
                <w:highlight w:val="none"/>
              </w:rPr>
              <w:t>存量商品房</w:t>
            </w:r>
            <w:r>
              <w:rPr>
                <w:rFonts w:hint="eastAsia" w:ascii="黑体" w:hAnsi="黑体" w:eastAsia="黑体" w:cs="黑体"/>
                <w:highlight w:val="none"/>
                <w:lang w:val="en-US" w:eastAsia="zh-CN"/>
              </w:rPr>
              <w:t>去库存</w:t>
            </w:r>
            <w:r>
              <w:rPr>
                <w:rFonts w:hint="eastAsia" w:ascii="黑体" w:hAnsi="黑体" w:eastAsia="黑体" w:cs="黑体"/>
                <w:highlight w:val="none"/>
              </w:rPr>
              <w:t>工程</w:t>
            </w:r>
          </w:p>
        </w:tc>
      </w:tr>
      <w:tr w14:paraId="6F41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FCF0045">
            <w:pPr>
              <w:keepLines w:val="0"/>
              <w:bidi w:val="0"/>
              <w:spacing w:beforeLines="-2147483648" w:afterLines="-2147483648"/>
              <w:ind w:firstLine="560" w:firstLineChars="20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val="0"/>
                <w:bCs w:val="0"/>
                <w:sz w:val="28"/>
                <w:szCs w:val="28"/>
                <w:highlight w:val="none"/>
                <w:vertAlign w:val="baseline"/>
                <w:lang w:val="en-US" w:eastAsia="zh-CN"/>
              </w:rPr>
              <w:t>目标：</w:t>
            </w:r>
            <w:r>
              <w:rPr>
                <w:rFonts w:hint="eastAsia" w:ascii="仿宋_GB2312" w:hAnsi="仿宋_GB2312" w:cs="仿宋_GB2312"/>
                <w:b w:val="0"/>
                <w:bCs w:val="0"/>
                <w:sz w:val="28"/>
                <w:szCs w:val="28"/>
                <w:highlight w:val="none"/>
              </w:rPr>
              <w:t>实现市县商品住宅库存去化周期回归12–</w:t>
            </w:r>
            <w:r>
              <w:rPr>
                <w:rFonts w:hint="eastAsia" w:ascii="仿宋_GB2312" w:hAnsi="仿宋_GB2312" w:cs="仿宋_GB2312"/>
                <w:b w:val="0"/>
                <w:bCs w:val="0"/>
                <w:sz w:val="28"/>
                <w:szCs w:val="28"/>
                <w:highlight w:val="none"/>
                <w:lang w:eastAsia="zh-CN"/>
              </w:rPr>
              <w:t>1</w:t>
            </w:r>
            <w:r>
              <w:rPr>
                <w:rFonts w:hint="eastAsia" w:ascii="仿宋_GB2312" w:hAnsi="仿宋_GB2312" w:cs="仿宋_GB2312"/>
                <w:b w:val="0"/>
                <w:bCs w:val="0"/>
                <w:sz w:val="28"/>
                <w:szCs w:val="28"/>
                <w:highlight w:val="none"/>
                <w:lang w:val="en-US" w:eastAsia="zh-CN"/>
              </w:rPr>
              <w:t>8</w:t>
            </w:r>
            <w:r>
              <w:rPr>
                <w:rFonts w:hint="eastAsia" w:ascii="仿宋_GB2312" w:hAnsi="仿宋_GB2312" w:cs="仿宋_GB2312"/>
                <w:b w:val="0"/>
                <w:bCs w:val="0"/>
                <w:sz w:val="28"/>
                <w:szCs w:val="28"/>
                <w:highlight w:val="none"/>
              </w:rPr>
              <w:t>个月。</w:t>
            </w:r>
          </w:p>
          <w:p w14:paraId="0223CB02">
            <w:pPr>
              <w:keepLines w:val="0"/>
              <w:bidi w:val="0"/>
              <w:spacing w:beforeLines="-2147483648" w:afterLines="-2147483648"/>
              <w:ind w:firstLine="560" w:firstLineChars="20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措施：</w:t>
            </w:r>
          </w:p>
          <w:p w14:paraId="1AD6B627">
            <w:pPr>
              <w:keepLines w:val="0"/>
              <w:bidi w:val="0"/>
              <w:spacing w:beforeLines="-2147483648" w:afterLines="-2147483648"/>
              <w:ind w:firstLine="562" w:firstLineChars="200"/>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cs="仿宋_GB2312"/>
                <w:b/>
                <w:bCs/>
                <w:sz w:val="28"/>
                <w:szCs w:val="28"/>
                <w:highlight w:val="none"/>
                <w:vertAlign w:val="baseline"/>
                <w:lang w:val="en-US" w:eastAsia="zh-CN"/>
              </w:rPr>
              <w:t>1.</w:t>
            </w:r>
            <w:r>
              <w:rPr>
                <w:rFonts w:hint="eastAsia" w:ascii="仿宋_GB2312" w:hAnsi="仿宋_GB2312" w:cs="仿宋_GB2312"/>
                <w:b/>
                <w:bCs/>
                <w:sz w:val="28"/>
                <w:szCs w:val="28"/>
                <w:highlight w:val="none"/>
              </w:rPr>
              <w:t>建立台账与动态监测</w:t>
            </w:r>
            <w:r>
              <w:rPr>
                <w:rFonts w:hint="eastAsia" w:ascii="仿宋_GB2312" w:hAnsi="仿宋_GB2312" w:cs="仿宋_GB2312"/>
                <w:b/>
                <w:bCs/>
                <w:sz w:val="28"/>
                <w:szCs w:val="28"/>
                <w:highlight w:val="none"/>
                <w:lang w:eastAsia="zh-CN"/>
              </w:rPr>
              <w:t>。</w:t>
            </w:r>
            <w:r>
              <w:rPr>
                <w:rFonts w:hint="eastAsia" w:ascii="仿宋_GB2312" w:hAnsi="仿宋_GB2312" w:cs="仿宋_GB2312"/>
                <w:b w:val="0"/>
                <w:bCs w:val="0"/>
                <w:sz w:val="28"/>
                <w:szCs w:val="28"/>
                <w:highlight w:val="none"/>
              </w:rPr>
              <w:t>摸清全市存量商品房底数，实时监测各区域去化进度，每月通报库存数据及去化情况，结合库存周期变化，动态调整收购范围、定价标准及住宅用地供地策略，对去化周期超18个月的区域重点倾斜收购资源。</w:t>
            </w:r>
            <w:r>
              <w:rPr>
                <w:rFonts w:hint="eastAsia" w:ascii="仿宋_GB2312" w:hAnsi="仿宋_GB2312" w:cs="仿宋_GB2312"/>
                <w:b w:val="0"/>
                <w:bCs w:val="0"/>
                <w:sz w:val="28"/>
                <w:szCs w:val="28"/>
                <w:highlight w:val="none"/>
              </w:rPr>
              <w:t>建立住宅用地供应与库存去化周期联动机制，对去化周期超18个月的区域，暂停新增住宅用地出让</w:t>
            </w:r>
            <w:r>
              <w:rPr>
                <w:rFonts w:hint="eastAsia" w:ascii="仿宋_GB2312" w:hAnsi="仿宋_GB2312" w:cs="仿宋_GB2312"/>
                <w:b w:val="0"/>
                <w:bCs w:val="0"/>
                <w:sz w:val="28"/>
                <w:szCs w:val="28"/>
                <w:highlight w:val="none"/>
                <w:lang w:eastAsia="zh-CN"/>
              </w:rPr>
              <w:t>。</w:t>
            </w:r>
          </w:p>
          <w:p w14:paraId="4C74CE15">
            <w:pPr>
              <w:keepLines w:val="0"/>
              <w:bidi w:val="0"/>
              <w:spacing w:beforeLines="-2147483648" w:afterLines="-2147483648"/>
              <w:ind w:firstLine="562"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cs="仿宋_GB2312"/>
                <w:b/>
                <w:bCs/>
                <w:sz w:val="28"/>
                <w:szCs w:val="28"/>
                <w:highlight w:val="none"/>
                <w:lang w:val="en-US" w:eastAsia="zh-CN"/>
              </w:rPr>
              <w:t>2.</w:t>
            </w:r>
            <w:r>
              <w:rPr>
                <w:rFonts w:hint="eastAsia" w:ascii="仿宋_GB2312" w:hAnsi="仿宋_GB2312" w:cs="仿宋_GB2312"/>
                <w:b/>
                <w:bCs/>
                <w:sz w:val="28"/>
                <w:szCs w:val="28"/>
                <w:highlight w:val="none"/>
              </w:rPr>
              <w:t>回购盘活</w:t>
            </w:r>
            <w:r>
              <w:rPr>
                <w:rFonts w:hint="eastAsia" w:ascii="仿宋_GB2312" w:hAnsi="仿宋_GB2312" w:cs="仿宋_GB2312"/>
                <w:b/>
                <w:bCs/>
                <w:sz w:val="28"/>
                <w:szCs w:val="28"/>
                <w:highlight w:val="none"/>
                <w:lang w:val="en-US" w:eastAsia="zh-CN"/>
              </w:rPr>
              <w:t>存量商品住房</w:t>
            </w:r>
            <w:r>
              <w:rPr>
                <w:rFonts w:hint="eastAsia" w:ascii="仿宋_GB2312" w:hAnsi="仿宋_GB2312" w:cs="仿宋_GB2312"/>
                <w:b/>
                <w:bCs/>
                <w:sz w:val="28"/>
                <w:szCs w:val="28"/>
                <w:highlight w:val="none"/>
                <w:lang w:eastAsia="zh-CN"/>
              </w:rPr>
              <w:t>。</w:t>
            </w:r>
            <w:r>
              <w:rPr>
                <w:rFonts w:hint="eastAsia" w:ascii="仿宋_GB2312" w:hAnsi="仿宋_GB2312" w:cs="仿宋_GB2312"/>
                <w:b w:val="0"/>
                <w:bCs w:val="0"/>
                <w:sz w:val="28"/>
                <w:szCs w:val="28"/>
                <w:highlight w:val="none"/>
                <w:lang w:val="en-US" w:eastAsia="zh-CN"/>
              </w:rPr>
              <w:t>支持国有企业开展</w:t>
            </w:r>
            <w:r>
              <w:rPr>
                <w:rFonts w:hint="eastAsia" w:ascii="仿宋_GB2312" w:hAnsi="仿宋_GB2312" w:cs="仿宋_GB2312"/>
                <w:b w:val="0"/>
                <w:bCs w:val="0"/>
                <w:sz w:val="28"/>
                <w:szCs w:val="28"/>
                <w:highlight w:val="none"/>
              </w:rPr>
              <w:t>存量商品房收购、改造、运营</w:t>
            </w:r>
            <w:r>
              <w:rPr>
                <w:rFonts w:hint="eastAsia" w:ascii="仿宋_GB2312" w:hAnsi="仿宋_GB2312" w:cs="仿宋_GB2312"/>
                <w:b w:val="0"/>
                <w:bCs w:val="0"/>
                <w:sz w:val="28"/>
                <w:szCs w:val="28"/>
                <w:highlight w:val="none"/>
                <w:lang w:val="en-US" w:eastAsia="zh-CN"/>
              </w:rPr>
              <w:t>业务</w:t>
            </w:r>
            <w:r>
              <w:rPr>
                <w:rFonts w:hint="eastAsia" w:ascii="仿宋_GB2312" w:hAnsi="仿宋_GB2312" w:cs="仿宋_GB2312"/>
                <w:b w:val="0"/>
                <w:bCs w:val="0"/>
                <w:sz w:val="28"/>
                <w:szCs w:val="28"/>
                <w:highlight w:val="none"/>
              </w:rPr>
              <w:t>。统筹中央省级补助资金、地方政府专项债及国企自有资金，设立收购专项资金，降低收购资金成本。拓宽</w:t>
            </w:r>
            <w:r>
              <w:rPr>
                <w:rFonts w:hint="eastAsia" w:ascii="仿宋_GB2312" w:hAnsi="仿宋_GB2312" w:cs="仿宋_GB2312"/>
                <w:b w:val="0"/>
                <w:bCs w:val="0"/>
                <w:sz w:val="28"/>
                <w:szCs w:val="28"/>
                <w:highlight w:val="none"/>
                <w:lang w:val="en-US" w:eastAsia="zh-CN"/>
              </w:rPr>
              <w:t>收购</w:t>
            </w:r>
            <w:r>
              <w:rPr>
                <w:rFonts w:hint="eastAsia" w:ascii="仿宋_GB2312" w:hAnsi="仿宋_GB2312" w:cs="仿宋_GB2312"/>
                <w:b w:val="0"/>
                <w:bCs w:val="0"/>
                <w:sz w:val="28"/>
                <w:szCs w:val="28"/>
                <w:highlight w:val="none"/>
              </w:rPr>
              <w:t>房源转化渠道，积极收购商品住房用作七大主导产业人才公寓、高校职工和学生宿舍；鼓励国有企业收购存量住房用于企事业单位、产业园区及高校员工集中租赁；结合城中村和棚户区改造中的历史遗留问题，引导存量住房灵活安置拆迁户或用于就业导向型住房，实现“收购—盘活—利用”闭环。</w:t>
            </w:r>
          </w:p>
          <w:p w14:paraId="415E1674">
            <w:pPr>
              <w:keepLines/>
              <w:bidi w:val="0"/>
              <w:spacing w:beforeLines="-2147483648" w:afterLines="-2147483648"/>
              <w:ind w:firstLine="562" w:firstLineChars="200"/>
              <w:outlineLvl w:val="9"/>
              <w:rPr>
                <w:rFonts w:hint="default" w:ascii="仿宋_GB2312" w:hAnsi="仿宋_GB2312" w:cs="仿宋_GB2312"/>
                <w:sz w:val="28"/>
                <w:szCs w:val="28"/>
                <w:highlight w:val="none"/>
                <w:lang w:val="en-US" w:eastAsia="zh-CN"/>
              </w:rPr>
            </w:pPr>
            <w:bookmarkStart w:id="283" w:name="_Toc6879"/>
            <w:r>
              <w:rPr>
                <w:rFonts w:hint="eastAsia" w:ascii="仿宋_GB2312" w:hAnsi="仿宋_GB2312" w:cs="仿宋_GB2312"/>
                <w:b/>
                <w:bCs/>
                <w:sz w:val="28"/>
                <w:szCs w:val="28"/>
                <w:highlight w:val="none"/>
                <w:lang w:val="en-US" w:eastAsia="zh-CN"/>
              </w:rPr>
              <w:t>3.</w:t>
            </w:r>
            <w:r>
              <w:rPr>
                <w:rFonts w:hint="eastAsia" w:ascii="仿宋_GB2312" w:hAnsi="仿宋_GB2312" w:cs="仿宋_GB2312"/>
                <w:b/>
                <w:bCs/>
                <w:sz w:val="28"/>
                <w:szCs w:val="28"/>
                <w:highlight w:val="none"/>
              </w:rPr>
              <w:t>试点先行</w:t>
            </w:r>
            <w:r>
              <w:rPr>
                <w:rFonts w:hint="eastAsia" w:ascii="仿宋_GB2312" w:hAnsi="仿宋_GB2312" w:cs="仿宋_GB2312"/>
                <w:b/>
                <w:bCs/>
                <w:sz w:val="28"/>
                <w:szCs w:val="28"/>
                <w:highlight w:val="none"/>
                <w:lang w:eastAsia="zh-CN"/>
              </w:rPr>
              <w:t>。</w:t>
            </w:r>
            <w:r>
              <w:rPr>
                <w:rFonts w:hint="eastAsia" w:ascii="仿宋_GB2312" w:hAnsi="仿宋_GB2312" w:cs="仿宋_GB2312"/>
                <w:b w:val="0"/>
                <w:bCs w:val="0"/>
                <w:sz w:val="28"/>
                <w:szCs w:val="28"/>
                <w:highlight w:val="none"/>
                <w:lang w:val="en-US" w:eastAsia="zh-CN"/>
              </w:rPr>
              <w:t>优</w:t>
            </w:r>
            <w:r>
              <w:rPr>
                <w:rFonts w:hint="eastAsia" w:ascii="仿宋_GB2312" w:hAnsi="仿宋_GB2312" w:cs="仿宋_GB2312"/>
                <w:b w:val="0"/>
                <w:bCs w:val="0"/>
                <w:sz w:val="28"/>
                <w:szCs w:val="28"/>
                <w:highlight w:val="none"/>
              </w:rPr>
              <w:t>先在中心城区选择</w:t>
            </w:r>
            <w:r>
              <w:rPr>
                <w:rFonts w:hint="eastAsia" w:ascii="仿宋_GB2312" w:hAnsi="仿宋_GB2312" w:cs="仿宋_GB2312"/>
                <w:b w:val="0"/>
                <w:bCs w:val="0"/>
                <w:sz w:val="28"/>
                <w:szCs w:val="28"/>
                <w:highlight w:val="none"/>
                <w:lang w:eastAsia="zh-CN"/>
              </w:rPr>
              <w:t>2～3个</w:t>
            </w:r>
            <w:r>
              <w:rPr>
                <w:rFonts w:hint="eastAsia" w:ascii="仿宋_GB2312" w:hAnsi="仿宋_GB2312" w:cs="仿宋_GB2312"/>
                <w:b w:val="0"/>
                <w:bCs w:val="0"/>
                <w:sz w:val="28"/>
                <w:szCs w:val="28"/>
                <w:highlight w:val="none"/>
              </w:rPr>
              <w:t>去化周期超18个月的项目开展收购试点，重点探索收购定价、资金使用、房源转化、运营管理等环节的有效路径</w:t>
            </w:r>
            <w:r>
              <w:rPr>
                <w:rFonts w:hint="eastAsia" w:ascii="仿宋_GB2312" w:hAnsi="仿宋_GB2312" w:cs="仿宋_GB2312"/>
                <w:b w:val="0"/>
                <w:bCs w:val="0"/>
                <w:sz w:val="28"/>
                <w:szCs w:val="28"/>
                <w:highlight w:val="none"/>
                <w:lang w:eastAsia="zh-CN"/>
              </w:rPr>
              <w:t>。</w:t>
            </w:r>
            <w:bookmarkEnd w:id="283"/>
          </w:p>
        </w:tc>
      </w:tr>
    </w:tbl>
    <w:p w14:paraId="61490CD0">
      <w:pPr>
        <w:pStyle w:val="5"/>
        <w:bidi w:val="0"/>
        <w:rPr>
          <w:rFonts w:hint="eastAsia"/>
          <w:highlight w:val="none"/>
          <w:lang w:val="en-US" w:eastAsia="zh-CN"/>
        </w:rPr>
      </w:pPr>
      <w:bookmarkStart w:id="284" w:name="_Toc250"/>
      <w:bookmarkStart w:id="285" w:name="_Toc13472"/>
      <w:bookmarkStart w:id="286" w:name="_Toc953"/>
      <w:bookmarkStart w:id="287" w:name="_Toc20934"/>
      <w:bookmarkStart w:id="288" w:name="_Toc4724"/>
      <w:bookmarkStart w:id="289" w:name="_Toc13831"/>
      <w:bookmarkStart w:id="290" w:name="_Toc23662"/>
      <w:bookmarkStart w:id="291" w:name="_Toc12995"/>
      <w:bookmarkStart w:id="292" w:name="_Toc14070"/>
      <w:bookmarkStart w:id="293" w:name="_Toc5279"/>
      <w:bookmarkStart w:id="294" w:name="_Toc19877"/>
      <w:bookmarkStart w:id="295" w:name="_Toc11866"/>
      <w:bookmarkStart w:id="296" w:name="_Toc27521"/>
      <w:bookmarkStart w:id="297" w:name="_Toc20484"/>
      <w:bookmarkStart w:id="298" w:name="_Toc31088"/>
      <w:r>
        <w:rPr>
          <w:rFonts w:hint="eastAsia"/>
          <w:highlight w:val="none"/>
          <w:lang w:val="en-US" w:eastAsia="zh-CN"/>
        </w:rPr>
        <w:t>3.持续防范化解房地产领域风险。</w:t>
      </w:r>
      <w:bookmarkEnd w:id="284"/>
      <w:bookmarkEnd w:id="285"/>
      <w:bookmarkEnd w:id="286"/>
      <w:bookmarkEnd w:id="287"/>
    </w:p>
    <w:p w14:paraId="2F3CC051">
      <w:pPr>
        <w:pStyle w:val="20"/>
        <w:widowControl w:val="0"/>
        <w:adjustRightInd/>
        <w:snapToGrid/>
        <w:spacing w:after="0"/>
        <w:ind w:firstLineChars="200"/>
        <w:rPr>
          <w:rFonts w:hint="eastAsia" w:ascii="Times New Roman" w:hAnsi="Times New Roman" w:cstheme="minorBidi"/>
          <w:color w:val="auto"/>
          <w:kern w:val="2"/>
          <w:szCs w:val="24"/>
          <w:highlight w:val="none"/>
          <w:lang w:val="en-US" w:eastAsia="zh-CN"/>
        </w:rPr>
      </w:pPr>
      <w:r>
        <w:rPr>
          <w:rFonts w:hint="eastAsia" w:ascii="Times New Roman" w:hAnsi="Times New Roman" w:cstheme="minorBidi"/>
          <w:color w:val="auto"/>
          <w:kern w:val="2"/>
          <w:szCs w:val="24"/>
          <w:highlight w:val="none"/>
          <w:lang w:val="en-US" w:eastAsia="zh-CN"/>
        </w:rPr>
        <w:t>加强预售资金和贷款资金监管，预售资金全部进入监管账户并按照工程进度分节点拨付，融资贷款要严格封闭运行管理，确保用于项目建设。分类施策推进在建项目风险化解，强化资金统筹和要素保障，推动项目建设和交付有序推进，切实维护购房群众合法权益和社会稳定。</w:t>
      </w:r>
      <w:r>
        <w:rPr>
          <w:rFonts w:hint="eastAsia"/>
          <w:highlight w:val="none"/>
          <w:lang w:val="en-US" w:eastAsia="zh-CN"/>
        </w:rPr>
        <w:t>深入实施</w:t>
      </w:r>
      <w:r>
        <w:rPr>
          <w:rFonts w:hint="eastAsia" w:ascii="Times New Roman" w:hAnsi="Times New Roman" w:cstheme="minorBidi"/>
          <w:color w:val="auto"/>
          <w:kern w:val="2"/>
          <w:szCs w:val="24"/>
          <w:highlight w:val="none"/>
          <w:lang w:val="en-US" w:eastAsia="zh-CN"/>
        </w:rPr>
        <w:t>房地产风险分级分类预警机制，提升对苗头性、趋势性风险的识别和处置能力，做到早发现、早研判、早应对。</w:t>
      </w:r>
    </w:p>
    <w:p w14:paraId="750EA55E">
      <w:pPr>
        <w:pStyle w:val="5"/>
        <w:bidi w:val="0"/>
        <w:rPr>
          <w:rFonts w:hint="default"/>
          <w:b/>
          <w:bCs w:val="0"/>
          <w:highlight w:val="none"/>
          <w:lang w:val="en-US" w:eastAsia="zh-CN"/>
        </w:rPr>
      </w:pPr>
      <w:bookmarkStart w:id="299" w:name="_Toc6440"/>
      <w:bookmarkStart w:id="300" w:name="_Toc21654"/>
      <w:bookmarkStart w:id="301" w:name="_Toc9453"/>
      <w:bookmarkStart w:id="302" w:name="_Toc21919"/>
      <w:r>
        <w:rPr>
          <w:rFonts w:hint="eastAsia"/>
          <w:b/>
          <w:bCs w:val="0"/>
          <w:highlight w:val="none"/>
          <w:lang w:val="en-US" w:eastAsia="zh-CN"/>
        </w:rPr>
        <w:t>4</w:t>
      </w:r>
      <w:r>
        <w:rPr>
          <w:rFonts w:hint="default"/>
          <w:b/>
          <w:bCs w:val="0"/>
          <w:highlight w:val="none"/>
          <w:lang w:val="en-US" w:eastAsia="zh-CN"/>
        </w:rPr>
        <w:t>.推进县镇房地产高质量发展。</w:t>
      </w:r>
      <w:bookmarkEnd w:id="299"/>
      <w:bookmarkEnd w:id="300"/>
      <w:bookmarkEnd w:id="301"/>
      <w:bookmarkEnd w:id="302"/>
    </w:p>
    <w:p w14:paraId="16EC1CB6">
      <w:pPr>
        <w:widowControl w:val="0"/>
        <w:adjustRightInd/>
        <w:snapToGrid/>
        <w:spacing w:after="0" w:line="600" w:lineRule="exact"/>
        <w:ind w:firstLine="640" w:firstLineChars="200"/>
        <w:rPr>
          <w:rFonts w:hint="default" w:ascii="Times New Roman" w:hAnsi="仿宋" w:cs="仿宋"/>
          <w:color w:val="auto"/>
          <w:kern w:val="2"/>
          <w:szCs w:val="32"/>
          <w:highlight w:val="none"/>
          <w:lang w:val="en-US" w:eastAsia="zh-CN"/>
        </w:rPr>
      </w:pPr>
      <w:r>
        <w:rPr>
          <w:rFonts w:hint="default" w:ascii="Times New Roman" w:hAnsi="仿宋" w:cs="仿宋"/>
          <w:color w:val="auto"/>
          <w:kern w:val="2"/>
          <w:szCs w:val="32"/>
          <w:highlight w:val="none"/>
          <w:lang w:val="en-US" w:eastAsia="zh-CN"/>
        </w:rPr>
        <w:t>合理引导住房需求梯度转移，</w:t>
      </w:r>
      <w:r>
        <w:rPr>
          <w:rFonts w:hint="eastAsia" w:hAnsi="仿宋" w:cs="仿宋"/>
          <w:color w:val="auto"/>
          <w:kern w:val="2"/>
          <w:szCs w:val="32"/>
          <w:highlight w:val="none"/>
          <w:lang w:val="en-US" w:eastAsia="zh-CN"/>
        </w:rPr>
        <w:t>以住房发展促进</w:t>
      </w:r>
      <w:r>
        <w:rPr>
          <w:rFonts w:hint="default" w:ascii="Times New Roman" w:hAnsi="仿宋" w:cs="仿宋"/>
          <w:color w:val="auto"/>
          <w:kern w:val="2"/>
          <w:szCs w:val="32"/>
          <w:highlight w:val="none"/>
          <w:lang w:val="en-US" w:eastAsia="zh-CN"/>
        </w:rPr>
        <w:t>县域城镇综合承载能力</w:t>
      </w:r>
      <w:r>
        <w:rPr>
          <w:rFonts w:hint="eastAsia" w:hAnsi="仿宋" w:cs="仿宋"/>
          <w:color w:val="auto"/>
          <w:kern w:val="2"/>
          <w:szCs w:val="32"/>
          <w:highlight w:val="none"/>
          <w:lang w:val="en-US" w:eastAsia="zh-CN"/>
        </w:rPr>
        <w:t>和服务水平提升，</w:t>
      </w:r>
      <w:r>
        <w:rPr>
          <w:rFonts w:hint="default" w:ascii="Times New Roman" w:hAnsi="仿宋" w:cs="仿宋"/>
          <w:color w:val="auto"/>
          <w:kern w:val="2"/>
          <w:szCs w:val="32"/>
          <w:highlight w:val="none"/>
          <w:lang w:val="en-US" w:eastAsia="zh-CN"/>
        </w:rPr>
        <w:t>促进人口向县城和重点镇集聚。支持有条件的乡镇根据人口变化、产业发展和居住需求，科学开展房地产开发，坚持</w:t>
      </w:r>
      <w:r>
        <w:rPr>
          <w:rFonts w:hint="eastAsia" w:hAnsi="仿宋" w:cs="仿宋"/>
          <w:color w:val="auto"/>
          <w:kern w:val="2"/>
          <w:szCs w:val="32"/>
          <w:highlight w:val="none"/>
          <w:lang w:val="en-US" w:eastAsia="zh-CN"/>
        </w:rPr>
        <w:t>“</w:t>
      </w:r>
      <w:r>
        <w:rPr>
          <w:rFonts w:hint="default" w:ascii="Times New Roman" w:hAnsi="仿宋" w:cs="仿宋"/>
          <w:color w:val="auto"/>
          <w:kern w:val="2"/>
          <w:szCs w:val="32"/>
          <w:highlight w:val="none"/>
          <w:lang w:val="en-US" w:eastAsia="zh-CN"/>
        </w:rPr>
        <w:t>以需定供、量力而行</w:t>
      </w:r>
      <w:r>
        <w:rPr>
          <w:rFonts w:hint="eastAsia" w:hAnsi="仿宋" w:cs="仿宋"/>
          <w:color w:val="auto"/>
          <w:kern w:val="2"/>
          <w:szCs w:val="32"/>
          <w:highlight w:val="none"/>
          <w:lang w:val="en-US" w:eastAsia="zh-CN"/>
        </w:rPr>
        <w:t>”</w:t>
      </w:r>
      <w:r>
        <w:rPr>
          <w:rFonts w:hint="default" w:ascii="Times New Roman" w:hAnsi="仿宋" w:cs="仿宋"/>
          <w:color w:val="auto"/>
          <w:kern w:val="2"/>
          <w:szCs w:val="32"/>
          <w:highlight w:val="none"/>
          <w:lang w:val="en-US" w:eastAsia="zh-CN"/>
        </w:rPr>
        <w:t>，防止盲目扩张。完善社区公共服务和基础设施配套，提升乡镇居住环境和生活品质，促进乡村居民改善居住条件，实现就地就近城镇化。鼓励发展</w:t>
      </w:r>
      <w:r>
        <w:rPr>
          <w:rFonts w:hint="eastAsia" w:hAnsi="仿宋" w:cs="仿宋"/>
          <w:color w:val="auto"/>
          <w:kern w:val="2"/>
          <w:szCs w:val="32"/>
          <w:highlight w:val="none"/>
          <w:lang w:val="en-US" w:eastAsia="zh-CN"/>
        </w:rPr>
        <w:t>“</w:t>
      </w:r>
      <w:r>
        <w:rPr>
          <w:rFonts w:hint="default" w:ascii="Times New Roman" w:hAnsi="仿宋" w:cs="仿宋"/>
          <w:color w:val="auto"/>
          <w:kern w:val="2"/>
          <w:szCs w:val="32"/>
          <w:highlight w:val="none"/>
          <w:lang w:val="en-US" w:eastAsia="zh-CN"/>
        </w:rPr>
        <w:t>小规模、低密度、功能复合</w:t>
      </w:r>
      <w:r>
        <w:rPr>
          <w:rFonts w:hint="eastAsia" w:hAnsi="仿宋" w:cs="仿宋"/>
          <w:color w:val="auto"/>
          <w:kern w:val="2"/>
          <w:szCs w:val="32"/>
          <w:highlight w:val="none"/>
          <w:lang w:val="en-US" w:eastAsia="zh-CN"/>
        </w:rPr>
        <w:t>”</w:t>
      </w:r>
      <w:r>
        <w:rPr>
          <w:rFonts w:hint="default" w:ascii="Times New Roman" w:hAnsi="仿宋" w:cs="仿宋"/>
          <w:color w:val="auto"/>
          <w:kern w:val="2"/>
          <w:szCs w:val="32"/>
          <w:highlight w:val="none"/>
          <w:lang w:val="en-US" w:eastAsia="zh-CN"/>
        </w:rPr>
        <w:t>的乡镇住宅项目，</w:t>
      </w:r>
      <w:r>
        <w:rPr>
          <w:rFonts w:hint="eastAsia" w:hAnsi="仿宋" w:cs="仿宋"/>
          <w:color w:val="auto"/>
          <w:kern w:val="2"/>
          <w:szCs w:val="32"/>
          <w:highlight w:val="none"/>
          <w:lang w:val="en-US" w:eastAsia="zh-CN"/>
        </w:rPr>
        <w:t>促进居民就地就近城镇化</w:t>
      </w:r>
      <w:r>
        <w:rPr>
          <w:rFonts w:hint="default" w:ascii="Times New Roman" w:hAnsi="仿宋" w:cs="仿宋"/>
          <w:color w:val="auto"/>
          <w:kern w:val="2"/>
          <w:szCs w:val="32"/>
          <w:highlight w:val="none"/>
          <w:lang w:val="en-US" w:eastAsia="zh-CN"/>
        </w:rPr>
        <w:t>。</w:t>
      </w:r>
    </w:p>
    <w:p w14:paraId="36D52204">
      <w:pPr>
        <w:pStyle w:val="4"/>
        <w:rPr>
          <w:rFonts w:hint="eastAsia"/>
          <w:lang w:val="en-US" w:eastAsia="zh-CN"/>
        </w:rPr>
      </w:pPr>
      <w:bookmarkStart w:id="303" w:name="_Toc27611"/>
      <w:bookmarkStart w:id="304" w:name="_Toc7236"/>
      <w:bookmarkStart w:id="305" w:name="_Toc17383"/>
      <w:bookmarkStart w:id="306" w:name="_Toc14965"/>
      <w:bookmarkStart w:id="307" w:name="_Toc22471"/>
      <w:bookmarkStart w:id="308" w:name="_Toc14026"/>
      <w:bookmarkStart w:id="309" w:name="_Toc27201"/>
      <w:bookmarkStart w:id="310" w:name="_Toc2897"/>
      <w:bookmarkStart w:id="311" w:name="_Toc23692"/>
      <w:bookmarkStart w:id="312" w:name="_Toc7559"/>
      <w:bookmarkStart w:id="313" w:name="_Toc17426"/>
      <w:r>
        <w:rPr>
          <w:rFonts w:hint="eastAsia"/>
          <w:lang w:val="en-US" w:eastAsia="zh-CN"/>
        </w:rPr>
        <w:t>（二）提升保障性住房供给能力</w:t>
      </w:r>
      <w:bookmarkEnd w:id="288"/>
      <w:bookmarkEnd w:id="289"/>
      <w:bookmarkEnd w:id="290"/>
      <w:bookmarkEnd w:id="291"/>
      <w:bookmarkEnd w:id="292"/>
      <w:bookmarkEnd w:id="293"/>
      <w:bookmarkEnd w:id="294"/>
      <w:bookmarkEnd w:id="303"/>
      <w:bookmarkEnd w:id="304"/>
      <w:bookmarkEnd w:id="305"/>
      <w:bookmarkEnd w:id="306"/>
      <w:bookmarkEnd w:id="307"/>
      <w:bookmarkEnd w:id="308"/>
      <w:bookmarkEnd w:id="309"/>
      <w:bookmarkEnd w:id="310"/>
      <w:bookmarkEnd w:id="311"/>
      <w:bookmarkEnd w:id="312"/>
      <w:bookmarkEnd w:id="313"/>
    </w:p>
    <w:p w14:paraId="1FCD6F04">
      <w:pPr>
        <w:pStyle w:val="5"/>
        <w:bidi w:val="0"/>
        <w:rPr>
          <w:rFonts w:hint="eastAsia"/>
          <w:highlight w:val="none"/>
          <w:lang w:val="en-US" w:eastAsia="zh-CN"/>
        </w:rPr>
      </w:pPr>
      <w:bookmarkStart w:id="314" w:name="_Toc28954"/>
      <w:bookmarkStart w:id="315" w:name="_Toc6346"/>
      <w:bookmarkStart w:id="316" w:name="_Toc15402"/>
      <w:bookmarkStart w:id="317" w:name="_Toc28471"/>
      <w:bookmarkStart w:id="318" w:name="_Toc9723"/>
      <w:bookmarkStart w:id="319" w:name="_Toc25589"/>
      <w:r>
        <w:rPr>
          <w:rFonts w:hint="eastAsia"/>
          <w:highlight w:val="none"/>
          <w:lang w:val="en-US" w:eastAsia="zh-CN"/>
        </w:rPr>
        <w:t>1.持续完善住房保障体系</w:t>
      </w:r>
      <w:bookmarkEnd w:id="314"/>
      <w:bookmarkEnd w:id="315"/>
      <w:r>
        <w:rPr>
          <w:rFonts w:hint="eastAsia"/>
          <w:highlight w:val="none"/>
          <w:lang w:val="en-US" w:eastAsia="zh-CN"/>
        </w:rPr>
        <w:t>。</w:t>
      </w:r>
      <w:bookmarkEnd w:id="316"/>
      <w:bookmarkEnd w:id="317"/>
      <w:bookmarkEnd w:id="318"/>
      <w:bookmarkEnd w:id="319"/>
    </w:p>
    <w:p w14:paraId="45704EE0">
      <w:pPr>
        <w:rPr>
          <w:rFonts w:hint="eastAsia"/>
          <w:highlight w:val="none"/>
          <w:lang w:val="en-US" w:eastAsia="zh-CN"/>
        </w:rPr>
      </w:pPr>
      <w:r>
        <w:rPr>
          <w:rFonts w:hint="eastAsia"/>
          <w:highlight w:val="none"/>
          <w:lang w:val="en-US" w:eastAsia="zh-CN"/>
        </w:rPr>
        <w:t>坚持以需定供、精准保障，重点将新市民、青年人、低收入住房困难家庭、基本公共服务人员以及符合条件的特殊群体纳入住房保障范围。完善住房保障准入条件、审核程序和分配规则，健全轮候、动态调整和退出机制，加强对保障对象资格的常态化核查，防止保障资源错配和沉淀。依托信息化手段加强住房保障全流程管理，推动保障资源精准投放、公平分配和高效使用，切实发挥住房保障在兜底基本住房需求、促进社会公平和推进新型城镇化中的基础性作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DDC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957580C">
            <w:pPr>
              <w:bidi w:val="0"/>
              <w:ind w:firstLine="0" w:firstLineChars="0"/>
              <w:jc w:val="center"/>
              <w:rPr>
                <w:rFonts w:hint="eastAsia" w:ascii="楷体_GB2312" w:hAnsi="楷体_GB2312" w:eastAsia="楷体_GB2312" w:cs="楷体_GB2312"/>
                <w:highlight w:val="none"/>
                <w:vertAlign w:val="baseline"/>
                <w:lang w:val="en-US" w:eastAsia="zh-CN"/>
              </w:rPr>
            </w:pPr>
            <w:r>
              <w:rPr>
                <w:rFonts w:hint="eastAsia" w:ascii="黑体" w:hAnsi="黑体" w:eastAsia="黑体" w:cs="黑体"/>
                <w:highlight w:val="none"/>
                <w:vertAlign w:val="baseline"/>
                <w:lang w:val="en-US" w:eastAsia="zh-CN"/>
              </w:rPr>
              <w:t>专栏3：青年安居工程</w:t>
            </w:r>
          </w:p>
        </w:tc>
      </w:tr>
      <w:tr w14:paraId="370C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2942316">
            <w:pPr>
              <w:bidi w:val="0"/>
              <w:spacing w:beforeLines="0" w:afterLines="0"/>
              <w:ind w:firstLine="560"/>
              <w:rPr>
                <w:rFonts w:hint="default" w:ascii="仿宋_GB2312" w:hAnsi="仿宋_GB2312" w:cs="仿宋_GB2312"/>
                <w:sz w:val="28"/>
                <w:szCs w:val="28"/>
                <w:highlight w:val="none"/>
              </w:rPr>
            </w:pPr>
            <w:r>
              <w:rPr>
                <w:rFonts w:hint="default" w:ascii="仿宋_GB2312" w:hAnsi="仿宋_GB2312" w:cs="仿宋_GB2312"/>
                <w:sz w:val="28"/>
                <w:szCs w:val="28"/>
                <w:highlight w:val="none"/>
              </w:rPr>
              <w:t>目标：</w:t>
            </w:r>
            <w:r>
              <w:rPr>
                <w:rFonts w:hint="eastAsia" w:ascii="仿宋_GB2312" w:hAnsi="仿宋_GB2312" w:cs="仿宋_GB2312"/>
                <w:sz w:val="28"/>
                <w:szCs w:val="28"/>
                <w:highlight w:val="none"/>
                <w:vertAlign w:val="baseline"/>
                <w:lang w:val="en-US" w:eastAsia="zh-CN"/>
              </w:rPr>
              <w:t>重点</w:t>
            </w:r>
            <w:r>
              <w:rPr>
                <w:rFonts w:hint="eastAsia" w:ascii="仿宋_GB2312" w:hAnsi="仿宋_GB2312" w:eastAsia="仿宋_GB2312" w:cs="仿宋_GB2312"/>
                <w:sz w:val="28"/>
                <w:szCs w:val="28"/>
                <w:highlight w:val="none"/>
                <w:vertAlign w:val="baseline"/>
                <w:lang w:val="en-US" w:eastAsia="zh-CN"/>
              </w:rPr>
              <w:t>完善青年安居体系</w:t>
            </w:r>
            <w:r>
              <w:rPr>
                <w:rFonts w:hint="eastAsia" w:ascii="仿宋_GB2312" w:hAnsi="仿宋_GB2312" w:cs="仿宋_GB2312"/>
                <w:sz w:val="28"/>
                <w:szCs w:val="28"/>
                <w:highlight w:val="none"/>
                <w:vertAlign w:val="baseline"/>
                <w:lang w:val="en-US" w:eastAsia="zh-CN"/>
              </w:rPr>
              <w:t>，</w:t>
            </w:r>
            <w:r>
              <w:rPr>
                <w:rFonts w:hint="default" w:ascii="仿宋_GB2312" w:hAnsi="仿宋_GB2312" w:cs="仿宋_GB2312"/>
                <w:sz w:val="28"/>
                <w:szCs w:val="28"/>
                <w:highlight w:val="none"/>
              </w:rPr>
              <w:t>保障青年等重点群体住房需求。</w:t>
            </w:r>
          </w:p>
          <w:p w14:paraId="5025E66C">
            <w:pPr>
              <w:bidi w:val="0"/>
              <w:spacing w:beforeLines="0" w:afterLines="0"/>
              <w:ind w:firstLine="560"/>
              <w:rPr>
                <w:rFonts w:hint="default" w:ascii="仿宋_GB2312" w:hAnsi="仿宋_GB2312" w:cs="仿宋_GB2312"/>
                <w:sz w:val="28"/>
                <w:szCs w:val="28"/>
                <w:highlight w:val="none"/>
              </w:rPr>
            </w:pPr>
            <w:r>
              <w:rPr>
                <w:rFonts w:hint="default" w:ascii="仿宋_GB2312" w:hAnsi="仿宋_GB2312" w:cs="仿宋_GB2312"/>
                <w:sz w:val="28"/>
                <w:szCs w:val="28"/>
                <w:highlight w:val="none"/>
              </w:rPr>
              <w:t>措施：</w:t>
            </w:r>
          </w:p>
          <w:p w14:paraId="5B547C38">
            <w:pPr>
              <w:bidi w:val="0"/>
              <w:spacing w:beforeLines="0" w:afterLines="0"/>
              <w:ind w:firstLine="560"/>
              <w:rPr>
                <w:rFonts w:hint="default" w:ascii="仿宋_GB2312" w:hAnsi="仿宋_GB2312" w:cs="仿宋_GB2312"/>
                <w:sz w:val="28"/>
                <w:szCs w:val="28"/>
                <w:highlight w:val="none"/>
              </w:rPr>
            </w:pPr>
            <w:r>
              <w:rPr>
                <w:rFonts w:hint="eastAsia" w:ascii="仿宋_GB2312" w:hAnsi="仿宋_GB2312" w:cs="仿宋_GB2312"/>
                <w:b/>
                <w:bCs/>
                <w:sz w:val="28"/>
                <w:szCs w:val="28"/>
                <w:highlight w:val="none"/>
                <w:vertAlign w:val="baseline"/>
                <w:lang w:val="en-US" w:eastAsia="zh-CN"/>
              </w:rPr>
              <w:t>1.</w:t>
            </w:r>
            <w:r>
              <w:rPr>
                <w:rFonts w:hint="eastAsia" w:ascii="仿宋_GB2312" w:hAnsi="仿宋_GB2312" w:eastAsia="仿宋_GB2312" w:cs="仿宋_GB2312"/>
                <w:b/>
                <w:bCs/>
                <w:sz w:val="28"/>
                <w:szCs w:val="28"/>
                <w:highlight w:val="none"/>
                <w:vertAlign w:val="baseline"/>
                <w:lang w:val="en-US" w:eastAsia="zh-CN"/>
              </w:rPr>
              <w:t>完善青年安居制度体系，</w:t>
            </w:r>
            <w:r>
              <w:rPr>
                <w:rFonts w:hint="default" w:ascii="仿宋_GB2312" w:hAnsi="仿宋_GB2312" w:cs="仿宋_GB2312"/>
                <w:sz w:val="28"/>
                <w:szCs w:val="28"/>
                <w:highlight w:val="none"/>
              </w:rPr>
              <w:t>加大对首次购房青年家庭的差异化支持力度，建立专项</w:t>
            </w:r>
            <w:r>
              <w:rPr>
                <w:rFonts w:hint="eastAsia" w:ascii="仿宋_GB2312" w:hAnsi="仿宋_GB2312" w:cs="仿宋_GB2312"/>
                <w:sz w:val="28"/>
                <w:szCs w:val="28"/>
                <w:highlight w:val="none"/>
                <w:lang w:val="en-US" w:eastAsia="zh-CN"/>
              </w:rPr>
              <w:t>青年安居</w:t>
            </w:r>
            <w:r>
              <w:rPr>
                <w:rFonts w:hint="default" w:ascii="仿宋_GB2312" w:hAnsi="仿宋_GB2312" w:cs="仿宋_GB2312"/>
                <w:sz w:val="28"/>
                <w:szCs w:val="28"/>
                <w:highlight w:val="none"/>
              </w:rPr>
              <w:t>消费贷款产品。</w:t>
            </w:r>
            <w:r>
              <w:rPr>
                <w:rFonts w:hint="eastAsia" w:ascii="仿宋_GB2312" w:hAnsi="仿宋_GB2312" w:cs="仿宋_GB2312"/>
                <w:sz w:val="28"/>
                <w:szCs w:val="28"/>
                <w:highlight w:val="none"/>
                <w:lang w:val="en-US" w:eastAsia="zh-CN"/>
              </w:rPr>
              <w:t>探索</w:t>
            </w:r>
            <w:r>
              <w:rPr>
                <w:rFonts w:hint="default" w:ascii="仿宋_GB2312" w:hAnsi="仿宋_GB2312" w:cs="仿宋_GB2312"/>
                <w:sz w:val="28"/>
                <w:szCs w:val="28"/>
                <w:highlight w:val="none"/>
              </w:rPr>
              <w:t>青年先租后买、租金部分抵首付等</w:t>
            </w:r>
            <w:r>
              <w:rPr>
                <w:rFonts w:hint="eastAsia" w:ascii="仿宋_GB2312" w:hAnsi="仿宋_GB2312" w:cs="仿宋_GB2312"/>
                <w:sz w:val="28"/>
                <w:szCs w:val="28"/>
                <w:highlight w:val="none"/>
                <w:lang w:val="en-US" w:eastAsia="zh-CN"/>
              </w:rPr>
              <w:t>住房支持</w:t>
            </w:r>
            <w:r>
              <w:rPr>
                <w:rFonts w:hint="default" w:ascii="仿宋_GB2312" w:hAnsi="仿宋_GB2312" w:cs="仿宋_GB2312"/>
                <w:sz w:val="28"/>
                <w:szCs w:val="28"/>
                <w:highlight w:val="none"/>
              </w:rPr>
              <w:t>政策</w:t>
            </w:r>
            <w:r>
              <w:rPr>
                <w:rFonts w:hint="eastAsia" w:ascii="仿宋_GB2312" w:hAnsi="仿宋_GB2312" w:cs="仿宋_GB2312"/>
                <w:sz w:val="28"/>
                <w:szCs w:val="28"/>
                <w:highlight w:val="none"/>
                <w:lang w:eastAsia="zh-CN"/>
              </w:rPr>
              <w:t>。</w:t>
            </w:r>
          </w:p>
          <w:p w14:paraId="27E7219F">
            <w:pPr>
              <w:outlineLvl w:val="9"/>
              <w:rPr>
                <w:rFonts w:hint="default" w:ascii="仿宋_GB2312" w:hAnsi="仿宋_GB2312" w:cs="仿宋_GB2312"/>
                <w:b w:val="0"/>
                <w:sz w:val="28"/>
                <w:szCs w:val="28"/>
                <w:highlight w:val="none"/>
              </w:rPr>
            </w:pPr>
            <w:bookmarkStart w:id="320" w:name="_Toc10428"/>
            <w:r>
              <w:rPr>
                <w:rFonts w:hint="eastAsia" w:ascii="仿宋_GB2312" w:hAnsi="仿宋_GB2312" w:cs="仿宋_GB2312"/>
                <w:b/>
                <w:bCs/>
                <w:sz w:val="28"/>
                <w:szCs w:val="28"/>
                <w:highlight w:val="none"/>
                <w:lang w:val="en-US" w:eastAsia="zh-CN"/>
              </w:rPr>
              <w:t>2.</w:t>
            </w:r>
            <w:r>
              <w:rPr>
                <w:rFonts w:hint="default" w:ascii="仿宋_GB2312" w:hAnsi="仿宋_GB2312" w:cs="仿宋_GB2312"/>
                <w:b/>
                <w:bCs/>
                <w:sz w:val="28"/>
                <w:szCs w:val="28"/>
                <w:highlight w:val="none"/>
              </w:rPr>
              <w:t>强化多主体协同供给，</w:t>
            </w:r>
            <w:r>
              <w:rPr>
                <w:rFonts w:hint="default" w:ascii="仿宋_GB2312" w:hAnsi="仿宋_GB2312" w:cs="仿宋_GB2312"/>
                <w:bCs/>
                <w:sz w:val="28"/>
                <w:szCs w:val="28"/>
                <w:highlight w:val="none"/>
              </w:rPr>
              <w:t>拓宽青年住房保障渠道，</w:t>
            </w:r>
            <w:r>
              <w:rPr>
                <w:rFonts w:hint="eastAsia" w:ascii="仿宋_GB2312" w:hAnsi="仿宋_GB2312" w:cs="仿宋_GB2312"/>
                <w:b w:val="0"/>
                <w:sz w:val="28"/>
                <w:szCs w:val="28"/>
                <w:highlight w:val="none"/>
                <w:lang w:val="en-US" w:eastAsia="zh-CN"/>
              </w:rPr>
              <w:t>在</w:t>
            </w:r>
            <w:r>
              <w:rPr>
                <w:rFonts w:hint="default" w:ascii="仿宋_GB2312" w:hAnsi="仿宋_GB2312" w:cs="仿宋_GB2312"/>
                <w:b w:val="0"/>
                <w:sz w:val="28"/>
                <w:szCs w:val="28"/>
                <w:highlight w:val="none"/>
              </w:rPr>
              <w:t>高新区、官庄工区等产业集聚区</w:t>
            </w:r>
            <w:r>
              <w:rPr>
                <w:rFonts w:hint="eastAsia" w:ascii="仿宋_GB2312" w:hAnsi="仿宋_GB2312" w:cs="仿宋_GB2312"/>
                <w:b w:val="0"/>
                <w:sz w:val="28"/>
                <w:szCs w:val="28"/>
                <w:highlight w:val="none"/>
                <w:lang w:val="en-US" w:eastAsia="zh-CN"/>
              </w:rPr>
              <w:t>增加保障性住房供给</w:t>
            </w:r>
            <w:r>
              <w:rPr>
                <w:rFonts w:hint="default" w:ascii="仿宋_GB2312" w:hAnsi="仿宋_GB2312" w:cs="仿宋_GB2312"/>
                <w:b w:val="0"/>
                <w:sz w:val="28"/>
                <w:szCs w:val="28"/>
                <w:highlight w:val="none"/>
              </w:rPr>
              <w:t>，引导</w:t>
            </w:r>
            <w:r>
              <w:rPr>
                <w:rFonts w:hint="eastAsia" w:ascii="仿宋_GB2312" w:hAnsi="仿宋_GB2312" w:cs="仿宋_GB2312"/>
                <w:b w:val="0"/>
                <w:sz w:val="28"/>
                <w:szCs w:val="28"/>
                <w:highlight w:val="none"/>
                <w:lang w:val="en-US" w:eastAsia="zh-CN"/>
              </w:rPr>
              <w:t>产业园区企业、住房租赁企业等市场主体</w:t>
            </w:r>
            <w:r>
              <w:rPr>
                <w:rFonts w:hint="default" w:ascii="仿宋_GB2312" w:hAnsi="仿宋_GB2312" w:cs="仿宋_GB2312"/>
                <w:b w:val="0"/>
                <w:sz w:val="28"/>
                <w:szCs w:val="28"/>
                <w:highlight w:val="none"/>
              </w:rPr>
              <w:t>参与青年住房保障，打造“蓝领公寓+人才公寓”双体系，分别满足普通青年职工与高层次人才的居住需求；</w:t>
            </w:r>
            <w:r>
              <w:rPr>
                <w:rFonts w:hint="eastAsia" w:ascii="仿宋_GB2312" w:hAnsi="仿宋_GB2312" w:cs="仿宋_GB2312"/>
                <w:b w:val="0"/>
                <w:sz w:val="28"/>
                <w:szCs w:val="28"/>
                <w:highlight w:val="none"/>
                <w:lang w:val="en-US" w:eastAsia="zh-CN"/>
              </w:rPr>
              <w:t>建设青年友好的</w:t>
            </w:r>
            <w:r>
              <w:rPr>
                <w:rFonts w:hint="default" w:ascii="仿宋_GB2312" w:hAnsi="仿宋_GB2312" w:cs="仿宋_GB2312"/>
                <w:b w:val="0"/>
                <w:sz w:val="28"/>
                <w:szCs w:val="28"/>
                <w:highlight w:val="none"/>
              </w:rPr>
              <w:t>15分钟便民生活圈，</w:t>
            </w:r>
            <w:r>
              <w:rPr>
                <w:rFonts w:hint="eastAsia" w:ascii="仿宋_GB2312" w:hAnsi="仿宋_GB2312" w:cs="仿宋_GB2312"/>
                <w:b w:val="0"/>
                <w:sz w:val="28"/>
                <w:szCs w:val="28"/>
                <w:highlight w:val="none"/>
                <w:lang w:val="en-US" w:eastAsia="zh-CN"/>
              </w:rPr>
              <w:t>结合保障性住房项目，</w:t>
            </w:r>
            <w:r>
              <w:rPr>
                <w:rFonts w:hint="default" w:ascii="仿宋_GB2312" w:hAnsi="仿宋_GB2312" w:cs="仿宋_GB2312"/>
                <w:b w:val="0"/>
                <w:sz w:val="28"/>
                <w:szCs w:val="28"/>
                <w:highlight w:val="none"/>
              </w:rPr>
              <w:t>引入共享办公、青年驿站等设施，提升青年居住体验。</w:t>
            </w:r>
            <w:bookmarkEnd w:id="320"/>
          </w:p>
          <w:p w14:paraId="6358FD99">
            <w:pPr>
              <w:rPr>
                <w:rFonts w:hint="default"/>
                <w:lang w:val="en-US" w:eastAsia="zh-CN"/>
              </w:rPr>
            </w:pPr>
            <w:r>
              <w:rPr>
                <w:rFonts w:hint="eastAsia" w:ascii="仿宋_GB2312" w:hAnsi="仿宋_GB2312" w:cs="仿宋_GB2312"/>
                <w:b/>
                <w:bCs/>
                <w:sz w:val="28"/>
                <w:szCs w:val="28"/>
                <w:highlight w:val="none"/>
                <w:lang w:val="en-US" w:eastAsia="zh-CN"/>
              </w:rPr>
              <w:t>3.</w:t>
            </w:r>
            <w:r>
              <w:rPr>
                <w:rFonts w:hint="eastAsia" w:ascii="仿宋_GB2312" w:hAnsi="仿宋_GB2312" w:cs="仿宋_GB2312"/>
                <w:b/>
                <w:bCs/>
                <w:sz w:val="28"/>
                <w:szCs w:val="28"/>
                <w:highlight w:val="none"/>
              </w:rPr>
              <w:t>简化服务流程，提升保障效能，</w:t>
            </w:r>
            <w:r>
              <w:rPr>
                <w:rFonts w:hint="eastAsia" w:ascii="仿宋_GB2312" w:hAnsi="仿宋_GB2312" w:cs="仿宋_GB2312"/>
                <w:sz w:val="28"/>
                <w:szCs w:val="28"/>
                <w:highlight w:val="none"/>
                <w:lang w:val="en-US" w:eastAsia="zh-CN"/>
              </w:rPr>
              <w:t>探索建立</w:t>
            </w:r>
            <w:r>
              <w:rPr>
                <w:rFonts w:hint="eastAsia" w:ascii="仿宋_GB2312" w:hAnsi="仿宋_GB2312" w:cs="仿宋_GB2312"/>
                <w:sz w:val="28"/>
                <w:szCs w:val="28"/>
                <w:highlight w:val="none"/>
              </w:rPr>
              <w:t>“南阳青年安居”一站式平台</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将保障性租赁住房项目和富裕公租房项目纳入平台分配，通过平台</w:t>
            </w:r>
            <w:r>
              <w:rPr>
                <w:rFonts w:hint="eastAsia" w:ascii="仿宋_GB2312" w:hAnsi="仿宋_GB2312" w:cs="仿宋_GB2312"/>
                <w:sz w:val="28"/>
                <w:szCs w:val="28"/>
                <w:highlight w:val="none"/>
              </w:rPr>
              <w:t>简化青年安居申请材料，建立“即收即审”机制</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实现“一网通办、一次提交、全程网办”</w:t>
            </w:r>
            <w:r>
              <w:rPr>
                <w:rFonts w:hint="eastAsia" w:ascii="仿宋_GB2312" w:hAnsi="仿宋_GB2312" w:cs="仿宋_GB2312"/>
                <w:sz w:val="28"/>
                <w:szCs w:val="28"/>
                <w:highlight w:val="none"/>
                <w:lang w:eastAsia="zh-CN"/>
              </w:rPr>
              <w:t>。</w:t>
            </w:r>
          </w:p>
        </w:tc>
      </w:tr>
    </w:tbl>
    <w:p w14:paraId="1EC6F22D">
      <w:pPr>
        <w:pStyle w:val="5"/>
        <w:bidi w:val="0"/>
        <w:rPr>
          <w:rFonts w:hint="eastAsia"/>
          <w:highlight w:val="none"/>
          <w:lang w:val="en-US" w:eastAsia="zh-CN"/>
        </w:rPr>
      </w:pPr>
      <w:bookmarkStart w:id="321" w:name="_Toc24402"/>
      <w:bookmarkStart w:id="322" w:name="_Toc2034"/>
      <w:bookmarkStart w:id="323" w:name="_Toc22762"/>
      <w:bookmarkStart w:id="324" w:name="_Toc13181"/>
      <w:bookmarkStart w:id="325" w:name="_Toc14413"/>
      <w:bookmarkStart w:id="326" w:name="_Toc22098"/>
      <w:r>
        <w:rPr>
          <w:rFonts w:hint="eastAsia"/>
          <w:highlight w:val="none"/>
          <w:lang w:val="en-US" w:eastAsia="zh-CN"/>
        </w:rPr>
        <w:t>2.稳步发展保障性租赁住房</w:t>
      </w:r>
      <w:bookmarkEnd w:id="321"/>
      <w:bookmarkEnd w:id="322"/>
      <w:r>
        <w:rPr>
          <w:rFonts w:hint="eastAsia"/>
          <w:highlight w:val="none"/>
          <w:lang w:val="en-US" w:eastAsia="zh-CN"/>
        </w:rPr>
        <w:t>。</w:t>
      </w:r>
      <w:bookmarkEnd w:id="323"/>
      <w:bookmarkEnd w:id="324"/>
      <w:bookmarkEnd w:id="325"/>
      <w:bookmarkEnd w:id="326"/>
    </w:p>
    <w:p w14:paraId="570B13EB">
      <w:pPr>
        <w:pStyle w:val="20"/>
        <w:rPr>
          <w:rFonts w:hint="eastAsia"/>
          <w:highlight w:val="none"/>
          <w:lang w:val="en-US" w:eastAsia="zh-CN"/>
        </w:rPr>
      </w:pPr>
      <w:r>
        <w:rPr>
          <w:rFonts w:hint="eastAsia"/>
          <w:highlight w:val="none"/>
          <w:lang w:val="en-US" w:eastAsia="zh-CN"/>
        </w:rPr>
        <w:t>以新市民、青年人和基本公共服务人员为重点，稳步增加保障性租赁住房供给。统筹采取新建、改建、存量盘活等多种方式推进保障性租赁住房建设，保障性租赁住房的新增供应原则上优先通过收购存量商品房解决，减少新建规模，引导项目向产业园区、就业集中区和交通便利区域布局，提高住房供给与就业需求的匹配度，更好满足阶段性、过渡性住房需求。</w:t>
      </w:r>
    </w:p>
    <w:p w14:paraId="3D3E7402">
      <w:pPr>
        <w:pStyle w:val="5"/>
        <w:bidi w:val="0"/>
        <w:rPr>
          <w:rFonts w:hint="eastAsia"/>
          <w:highlight w:val="none"/>
          <w:lang w:val="en-US" w:eastAsia="zh-CN"/>
        </w:rPr>
      </w:pPr>
      <w:bookmarkStart w:id="327" w:name="_Toc4781"/>
      <w:bookmarkStart w:id="328" w:name="_Toc10070"/>
      <w:bookmarkStart w:id="329" w:name="_Toc31038"/>
      <w:bookmarkStart w:id="330" w:name="_Toc4388"/>
      <w:bookmarkStart w:id="331" w:name="_Toc27085"/>
      <w:bookmarkStart w:id="332" w:name="_Toc2459"/>
      <w:r>
        <w:rPr>
          <w:rFonts w:hint="eastAsia"/>
          <w:highlight w:val="none"/>
          <w:lang w:val="en-US" w:eastAsia="zh-CN"/>
        </w:rPr>
        <w:t>3.精进保障性住房居住品质。</w:t>
      </w:r>
      <w:bookmarkEnd w:id="327"/>
      <w:bookmarkEnd w:id="328"/>
      <w:bookmarkEnd w:id="329"/>
      <w:bookmarkEnd w:id="330"/>
      <w:bookmarkEnd w:id="331"/>
      <w:bookmarkEnd w:id="332"/>
    </w:p>
    <w:p w14:paraId="14ED1E9C">
      <w:pPr>
        <w:rPr>
          <w:rFonts w:hint="eastAsia" w:ascii="Times New Roman" w:hAnsi="Times New Roman" w:cs="Nuosu SIL"/>
          <w:b w:val="0"/>
          <w:bCs w:val="0"/>
          <w:color w:val="auto"/>
          <w:szCs w:val="22"/>
          <w:highlight w:val="none"/>
          <w:lang w:val="en-US" w:eastAsia="zh-CN"/>
        </w:rPr>
      </w:pPr>
      <w:r>
        <w:rPr>
          <w:rFonts w:hint="eastAsia" w:ascii="Times New Roman" w:hAnsi="Times New Roman" w:cs="Nuosu SIL"/>
          <w:b w:val="0"/>
          <w:bCs w:val="0"/>
          <w:color w:val="auto"/>
          <w:szCs w:val="22"/>
          <w:highlight w:val="none"/>
          <w:lang w:val="en-US" w:eastAsia="zh-CN"/>
        </w:rPr>
        <w:t>以提升居住安全性、舒适性和功能适配性为重点，全面开展政府投资保障性住房现状和改造需求摸排，系统梳理房屋结构安全、配套设施、公共空间和使用功能等方面短板。坚持群众需求导向，优先推进配套设施完善、公共服务补短板、适老化改造和建筑节能改造等项目，分年度、有计划实施保障性住房更新改造，不断改善居住条件和环境品质。</w:t>
      </w:r>
    </w:p>
    <w:p w14:paraId="6A7F748B">
      <w:pPr>
        <w:pStyle w:val="5"/>
        <w:bidi w:val="0"/>
        <w:rPr>
          <w:rFonts w:hint="eastAsia"/>
          <w:highlight w:val="none"/>
          <w:lang w:val="en-US" w:eastAsia="zh-CN"/>
        </w:rPr>
      </w:pPr>
      <w:bookmarkStart w:id="333" w:name="_Toc17091"/>
      <w:bookmarkStart w:id="334" w:name="_Toc28349"/>
      <w:bookmarkStart w:id="335" w:name="_Toc9605"/>
      <w:bookmarkStart w:id="336" w:name="_Toc21967"/>
      <w:bookmarkStart w:id="337" w:name="_Toc22592"/>
      <w:bookmarkStart w:id="338" w:name="_Toc30618"/>
      <w:r>
        <w:rPr>
          <w:rFonts w:hint="eastAsia"/>
          <w:highlight w:val="none"/>
          <w:lang w:val="en-US" w:eastAsia="zh-CN"/>
        </w:rPr>
        <w:t>4.完善保障性住房管理服务与运营。</w:t>
      </w:r>
      <w:bookmarkEnd w:id="333"/>
      <w:bookmarkEnd w:id="334"/>
      <w:bookmarkEnd w:id="335"/>
      <w:bookmarkEnd w:id="336"/>
      <w:bookmarkEnd w:id="337"/>
      <w:bookmarkEnd w:id="338"/>
    </w:p>
    <w:p w14:paraId="71602197">
      <w:pPr>
        <w:rPr>
          <w:rFonts w:hint="default"/>
          <w:highlight w:val="none"/>
          <w:lang w:val="en-US" w:eastAsia="zh-CN"/>
        </w:rPr>
      </w:pPr>
      <w:r>
        <w:rPr>
          <w:rFonts w:hint="default"/>
          <w:highlight w:val="none"/>
          <w:lang w:val="en-US" w:eastAsia="zh-CN"/>
        </w:rPr>
        <w:t>健全保障性住房全生命周期管理体系，强化住房分配、使用、运营和退出等各环节管理。提升公租房、保障性租赁住房及人才公寓的运营服务水平，推动物业管理标准化、专业化、智能化建设。建立健全租赁合同管理、费用收缴、维修保障、投诉处理等制度，确保住房安全、设施完好、服务规范。完善信息化管理平台，实现住房信息动态监控、资源调配和需求反馈闭环，提高管理效率和服务透明度。</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756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645DC68">
            <w:pPr>
              <w:bidi w:val="0"/>
              <w:ind w:firstLine="0" w:firstLineChars="0"/>
              <w:jc w:val="center"/>
              <w:rPr>
                <w:rFonts w:hint="eastAsia" w:ascii="楷体_GB2312" w:hAnsi="楷体_GB2312" w:eastAsia="楷体_GB2312" w:cs="楷体_GB2312"/>
                <w:highlight w:val="none"/>
                <w:vertAlign w:val="baseline"/>
                <w:lang w:val="en-US" w:eastAsia="zh-CN"/>
              </w:rPr>
            </w:pPr>
            <w:r>
              <w:rPr>
                <w:rFonts w:hint="eastAsia" w:ascii="黑体" w:hAnsi="黑体" w:eastAsia="黑体" w:cs="黑体"/>
                <w:highlight w:val="none"/>
                <w:vertAlign w:val="baseline"/>
                <w:lang w:val="en-US" w:eastAsia="zh-CN"/>
              </w:rPr>
              <w:t>专栏4：保障性住房提质工程</w:t>
            </w:r>
          </w:p>
        </w:tc>
      </w:tr>
      <w:tr w14:paraId="639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AE6A6DB">
            <w:pPr>
              <w:bidi w:val="0"/>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目标：</w:t>
            </w:r>
            <w:r>
              <w:rPr>
                <w:rFonts w:hint="eastAsia" w:ascii="仿宋_GB2312" w:hAnsi="仿宋_GB2312" w:cs="仿宋_GB2312"/>
                <w:sz w:val="28"/>
                <w:szCs w:val="28"/>
                <w:highlight w:val="none"/>
              </w:rPr>
              <w:t>保障性住房管理效率和房源品质明显提升</w:t>
            </w:r>
            <w:r>
              <w:rPr>
                <w:rFonts w:hint="eastAsia" w:ascii="仿宋_GB2312" w:hAnsi="仿宋_GB2312" w:cs="仿宋_GB2312"/>
                <w:sz w:val="28"/>
                <w:szCs w:val="28"/>
                <w:highlight w:val="none"/>
                <w:lang w:eastAsia="zh-CN"/>
              </w:rPr>
              <w:t>。</w:t>
            </w:r>
          </w:p>
          <w:p w14:paraId="207FC6E9">
            <w:pPr>
              <w:bidi w:val="0"/>
              <w:ind w:firstLine="560" w:firstLineChars="20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措施：</w:t>
            </w:r>
          </w:p>
          <w:p w14:paraId="1A38FD92">
            <w:pPr>
              <w:rPr>
                <w:rFonts w:hint="default" w:ascii="仿宋_GB2312" w:hAnsi="仿宋_GB2312" w:cs="仿宋_GB2312"/>
                <w:b w:val="0"/>
                <w:sz w:val="28"/>
                <w:szCs w:val="28"/>
                <w:highlight w:val="none"/>
                <w:lang w:val="en-US" w:eastAsia="zh-CN"/>
              </w:rPr>
            </w:pPr>
            <w:r>
              <w:rPr>
                <w:rFonts w:hint="eastAsia" w:ascii="仿宋_GB2312" w:hAnsi="仿宋_GB2312" w:cs="仿宋_GB2312"/>
                <w:b/>
                <w:bCs/>
                <w:sz w:val="28"/>
                <w:szCs w:val="28"/>
                <w:highlight w:val="none"/>
                <w:lang w:val="en-US" w:eastAsia="zh-CN"/>
              </w:rPr>
              <w:t>1.服务提质增效。</w:t>
            </w:r>
            <w:r>
              <w:rPr>
                <w:rFonts w:hint="eastAsia" w:ascii="仿宋_GB2312" w:hAnsi="仿宋_GB2312" w:cs="仿宋_GB2312"/>
                <w:b w:val="0"/>
                <w:sz w:val="28"/>
                <w:szCs w:val="28"/>
                <w:highlight w:val="none"/>
              </w:rPr>
              <w:t>针对新市民、产业工人、青年教师、医护人员等重点保障群体，提供个性化服务，优化租金缴纳、房屋调换等便民举措，增强保障对象的归属感。</w:t>
            </w:r>
            <w:r>
              <w:rPr>
                <w:rFonts w:hint="eastAsia" w:ascii="仿宋_GB2312" w:hAnsi="仿宋_GB2312" w:cs="仿宋_GB2312"/>
                <w:b w:val="0"/>
                <w:sz w:val="28"/>
                <w:szCs w:val="28"/>
                <w:highlight w:val="none"/>
                <w:lang w:val="en-US" w:eastAsia="zh-CN"/>
              </w:rPr>
              <w:t>结合完整社区建设、老旧小区改造等，</w:t>
            </w:r>
            <w:r>
              <w:rPr>
                <w:rFonts w:hint="eastAsia" w:ascii="仿宋_GB2312" w:hAnsi="仿宋_GB2312" w:cs="仿宋_GB2312"/>
                <w:b w:val="0"/>
                <w:sz w:val="28"/>
                <w:szCs w:val="28"/>
                <w:highlight w:val="none"/>
              </w:rPr>
              <w:t>完善小区配套服务设施，统筹规划建设社区食堂、老年日间照料中心、儿童托管点、便民服务站、医疗卫生服务点等，重点解决“一老一小”照料难题。</w:t>
            </w:r>
          </w:p>
          <w:p w14:paraId="63B06312">
            <w:pPr>
              <w:bidi w:val="0"/>
              <w:ind w:firstLine="562" w:firstLineChars="200"/>
              <w:rPr>
                <w:rFonts w:hint="eastAsia" w:ascii="楷体_GB2312" w:hAnsi="楷体_GB2312" w:eastAsia="仿宋_GB2312" w:cs="楷体_GB2312"/>
                <w:highlight w:val="none"/>
                <w:vertAlign w:val="baseline"/>
                <w:lang w:val="en-US" w:eastAsia="zh-CN"/>
              </w:rPr>
            </w:pPr>
            <w:r>
              <w:rPr>
                <w:rFonts w:hint="eastAsia" w:ascii="仿宋_GB2312" w:hAnsi="仿宋_GB2312" w:cs="仿宋_GB2312"/>
                <w:b/>
                <w:bCs/>
                <w:sz w:val="28"/>
                <w:szCs w:val="28"/>
                <w:highlight w:val="none"/>
                <w:lang w:val="en-US" w:eastAsia="zh-CN"/>
              </w:rPr>
              <w:t>2.管理提质</w:t>
            </w:r>
            <w:r>
              <w:rPr>
                <w:rFonts w:hint="eastAsia" w:ascii="仿宋_GB2312" w:hAnsi="仿宋_GB2312" w:cs="仿宋_GB2312"/>
                <w:b/>
                <w:bCs/>
                <w:sz w:val="28"/>
                <w:szCs w:val="28"/>
                <w:highlight w:val="none"/>
              </w:rPr>
              <w:t>规范</w:t>
            </w:r>
            <w:r>
              <w:rPr>
                <w:rFonts w:hint="eastAsia" w:ascii="仿宋_GB2312" w:hAnsi="仿宋_GB2312" w:cs="仿宋_GB2312"/>
                <w:b/>
                <w:bCs/>
                <w:sz w:val="28"/>
                <w:szCs w:val="28"/>
                <w:highlight w:val="none"/>
                <w:lang w:eastAsia="zh-CN"/>
              </w:rPr>
              <w:t>。</w:t>
            </w:r>
            <w:r>
              <w:rPr>
                <w:rFonts w:hint="eastAsia" w:ascii="仿宋_GB2312" w:hAnsi="仿宋_GB2312" w:cs="仿宋_GB2312"/>
                <w:sz w:val="28"/>
                <w:szCs w:val="28"/>
                <w:highlight w:val="none"/>
              </w:rPr>
              <w:t>完善常态化申请和分配机制，推动在线申请、审核、分配、维护和退出</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一站式</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服务。</w:t>
            </w:r>
            <w:r>
              <w:rPr>
                <w:rFonts w:hint="eastAsia" w:ascii="仿宋_GB2312" w:hAnsi="仿宋_GB2312" w:cs="仿宋_GB2312"/>
                <w:sz w:val="28"/>
                <w:szCs w:val="28"/>
                <w:highlight w:val="none"/>
                <w:lang w:val="en-US" w:eastAsia="zh-CN"/>
              </w:rPr>
              <w:t>搭建</w:t>
            </w:r>
            <w:r>
              <w:rPr>
                <w:rFonts w:hint="eastAsia" w:ascii="仿宋_GB2312" w:hAnsi="仿宋_GB2312" w:cs="仿宋_GB2312"/>
                <w:sz w:val="28"/>
                <w:szCs w:val="28"/>
                <w:highlight w:val="none"/>
              </w:rPr>
              <w:t>智慧住房</w:t>
            </w:r>
            <w:r>
              <w:rPr>
                <w:rFonts w:hint="eastAsia" w:ascii="仿宋_GB2312" w:hAnsi="仿宋_GB2312" w:cs="仿宋_GB2312"/>
                <w:sz w:val="28"/>
                <w:szCs w:val="28"/>
                <w:highlight w:val="none"/>
                <w:lang w:val="en-US" w:eastAsia="zh-CN"/>
              </w:rPr>
              <w:t>运营管理</w:t>
            </w:r>
            <w:r>
              <w:rPr>
                <w:rFonts w:hint="eastAsia" w:ascii="仿宋_GB2312" w:hAnsi="仿宋_GB2312" w:cs="仿宋_GB2312"/>
                <w:sz w:val="28"/>
                <w:szCs w:val="28"/>
                <w:highlight w:val="none"/>
              </w:rPr>
              <w:t>服务平台，整合房源管理、住户管理、维修养护、租金收缴等功能，实现保障性住房全生命周期数字化管理，实时监测房源空置率、设施运行、租金缴纳等情况，提升管理精准度和效率。鼓励通过政府购买服务、房屋经营权转让，引入事业单位、国有企业及专业物业公司参与运营管理，探索住房保障专营机构模式，提升管理专业化和规范化水平。</w:t>
            </w:r>
          </w:p>
        </w:tc>
      </w:tr>
      <w:bookmarkEnd w:id="295"/>
      <w:bookmarkEnd w:id="296"/>
      <w:bookmarkEnd w:id="297"/>
    </w:tbl>
    <w:p w14:paraId="4E439220">
      <w:pPr>
        <w:pStyle w:val="4"/>
        <w:numPr>
          <w:ilvl w:val="-1"/>
          <w:numId w:val="0"/>
        </w:numPr>
        <w:bidi w:val="0"/>
        <w:ind w:firstLine="640"/>
        <w:rPr>
          <w:rFonts w:hint="eastAsia"/>
          <w:highlight w:val="none"/>
          <w:lang w:val="en-US" w:eastAsia="zh-CN"/>
        </w:rPr>
      </w:pPr>
      <w:bookmarkStart w:id="339" w:name="_Toc20785"/>
      <w:bookmarkStart w:id="340" w:name="_Toc31715"/>
      <w:bookmarkStart w:id="341" w:name="_Toc10772"/>
      <w:bookmarkStart w:id="342" w:name="_Toc16610"/>
      <w:bookmarkStart w:id="343" w:name="_Toc31743"/>
      <w:bookmarkStart w:id="344" w:name="_Toc24165"/>
      <w:bookmarkStart w:id="345" w:name="_Toc11830"/>
      <w:bookmarkStart w:id="346" w:name="_Toc12409"/>
      <w:bookmarkStart w:id="347" w:name="_Toc1963"/>
      <w:bookmarkStart w:id="348" w:name="_Toc13622"/>
      <w:bookmarkStart w:id="349" w:name="_Toc1340"/>
      <w:bookmarkStart w:id="350" w:name="_Toc8738"/>
      <w:bookmarkStart w:id="351" w:name="_Toc20247"/>
      <w:bookmarkStart w:id="352" w:name="_Toc24141"/>
      <w:bookmarkStart w:id="353" w:name="_Toc31238"/>
      <w:bookmarkStart w:id="354" w:name="_Toc16029"/>
      <w:bookmarkStart w:id="355" w:name="_Toc23786"/>
      <w:bookmarkStart w:id="356" w:name="_Toc632"/>
      <w:r>
        <w:rPr>
          <w:rFonts w:hint="eastAsia"/>
          <w:highlight w:val="none"/>
          <w:lang w:val="en-US" w:eastAsia="zh-CN"/>
        </w:rPr>
        <w:t>（三）推动房地产行业转型升级</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04B9D1">
      <w:pPr>
        <w:pStyle w:val="5"/>
        <w:bidi w:val="0"/>
        <w:rPr>
          <w:rFonts w:hint="default"/>
          <w:highlight w:val="none"/>
          <w:lang w:val="en-US" w:eastAsia="zh-CN"/>
        </w:rPr>
      </w:pPr>
      <w:bookmarkStart w:id="357" w:name="_Toc8666"/>
      <w:bookmarkStart w:id="358" w:name="_Toc2647"/>
      <w:bookmarkStart w:id="359" w:name="_Toc31350"/>
      <w:bookmarkStart w:id="360" w:name="_Toc11689"/>
      <w:bookmarkStart w:id="361" w:name="_Toc8011"/>
      <w:bookmarkStart w:id="362" w:name="_Toc20783"/>
      <w:r>
        <w:rPr>
          <w:rFonts w:hint="eastAsia"/>
          <w:highlight w:val="none"/>
          <w:lang w:val="en-US" w:eastAsia="zh-CN"/>
        </w:rPr>
        <w:t>1.加快完善房地产相关基础性制度。</w:t>
      </w:r>
      <w:bookmarkEnd w:id="357"/>
      <w:bookmarkEnd w:id="358"/>
      <w:bookmarkEnd w:id="359"/>
      <w:bookmarkEnd w:id="360"/>
    </w:p>
    <w:p w14:paraId="75BC0DD5">
      <w:pPr>
        <w:ind w:firstLine="640"/>
        <w:rPr>
          <w:rFonts w:hint="eastAsia" w:hAnsi="仿宋" w:cs="仿宋"/>
          <w:color w:val="auto"/>
          <w:szCs w:val="32"/>
          <w:highlight w:val="none"/>
          <w:lang w:eastAsia="zh-CN"/>
        </w:rPr>
      </w:pPr>
      <w:r>
        <w:rPr>
          <w:rFonts w:hint="eastAsia" w:hAnsi="仿宋" w:cs="仿宋"/>
          <w:color w:val="auto"/>
          <w:szCs w:val="32"/>
          <w:highlight w:val="none"/>
          <w:lang w:val="en-US" w:eastAsia="zh-CN"/>
        </w:rPr>
        <w:t>稳步推行项目开发公司制、主办银行制和</w:t>
      </w:r>
      <w:r>
        <w:rPr>
          <w:rFonts w:hint="eastAsia" w:hAnsi="仿宋" w:cs="仿宋"/>
          <w:color w:val="auto"/>
          <w:szCs w:val="32"/>
          <w:highlight w:val="none"/>
        </w:rPr>
        <w:t>现房销售</w:t>
      </w:r>
      <w:r>
        <w:rPr>
          <w:rFonts w:hint="eastAsia" w:hAnsi="仿宋" w:cs="仿宋"/>
          <w:color w:val="auto"/>
          <w:szCs w:val="32"/>
          <w:highlight w:val="none"/>
          <w:lang w:val="en-US" w:eastAsia="zh-CN"/>
        </w:rPr>
        <w:t>制</w:t>
      </w:r>
      <w:r>
        <w:rPr>
          <w:rFonts w:hint="eastAsia" w:hAnsi="仿宋" w:cs="仿宋"/>
          <w:color w:val="auto"/>
          <w:szCs w:val="32"/>
          <w:highlight w:val="none"/>
          <w:lang w:eastAsia="zh-CN"/>
        </w:rPr>
        <w:t>。明确预售和现房销售的过渡期政策，适时试点开展现房销售，逐步提高预售的门槛和条件，强化从供地、规划、预售、交付等全周期的政策扶持体系，总结试点经验，逐步扩大现房销售试点范围，直至在全市范围内实施新建商品住房</w:t>
      </w:r>
      <w:r>
        <w:rPr>
          <w:rFonts w:hint="eastAsia" w:hAnsi="仿宋" w:cs="仿宋"/>
          <w:color w:val="auto"/>
          <w:szCs w:val="32"/>
          <w:highlight w:val="none"/>
          <w:lang w:val="en-US" w:eastAsia="zh-CN"/>
        </w:rPr>
        <w:t>现</w:t>
      </w:r>
      <w:r>
        <w:rPr>
          <w:rFonts w:hint="eastAsia" w:hAnsi="仿宋" w:cs="仿宋"/>
          <w:color w:val="auto"/>
          <w:szCs w:val="32"/>
          <w:highlight w:val="none"/>
          <w:lang w:eastAsia="zh-CN"/>
        </w:rPr>
        <w:t>房销售。将“现房销售”列入用地规划设计条件和土地出让合同，优化现房销售项目地价计收方法，保障房地产开发企业实施现房销售可获得合理利润。</w:t>
      </w:r>
    </w:p>
    <w:p w14:paraId="70682D28">
      <w:pPr>
        <w:pStyle w:val="5"/>
        <w:bidi w:val="0"/>
        <w:spacing w:beforeLines="0" w:afterLines="0"/>
        <w:rPr>
          <w:rFonts w:hint="default" w:ascii="Times New Roman" w:hAnsi="Times New Roman" w:eastAsia="仿宋_GB2312"/>
          <w:highlight w:val="none"/>
          <w:lang w:val="en-US" w:eastAsia="zh-CN"/>
        </w:rPr>
      </w:pPr>
      <w:bookmarkStart w:id="363" w:name="_Toc17768"/>
      <w:bookmarkStart w:id="364" w:name="_Toc19469"/>
      <w:bookmarkStart w:id="365" w:name="_Toc892"/>
      <w:bookmarkStart w:id="366" w:name="_Toc11216"/>
      <w:r>
        <w:rPr>
          <w:rFonts w:hint="eastAsia"/>
          <w:highlight w:val="none"/>
          <w:lang w:val="en-US" w:eastAsia="zh-CN"/>
        </w:rPr>
        <w:t>2</w:t>
      </w:r>
      <w:r>
        <w:rPr>
          <w:rFonts w:hint="eastAsia" w:ascii="Times New Roman" w:hAnsi="Times New Roman"/>
          <w:highlight w:val="none"/>
        </w:rPr>
        <w:t>.完善房地产市场规范运行机制。</w:t>
      </w:r>
      <w:bookmarkEnd w:id="363"/>
      <w:bookmarkEnd w:id="364"/>
      <w:bookmarkEnd w:id="365"/>
      <w:bookmarkEnd w:id="366"/>
    </w:p>
    <w:p w14:paraId="6349B77B">
      <w:pPr>
        <w:bidi w:val="0"/>
        <w:spacing w:beforeLines="0" w:afterLines="0"/>
        <w:ind w:firstLine="640"/>
        <w:rPr>
          <w:rFonts w:hint="eastAsia"/>
          <w:highlight w:val="none"/>
        </w:rPr>
      </w:pPr>
      <w:r>
        <w:rPr>
          <w:rFonts w:hint="eastAsia"/>
          <w:highlight w:val="none"/>
        </w:rPr>
        <w:t>坚持</w:t>
      </w:r>
      <w:r>
        <w:rPr>
          <w:rFonts w:hint="eastAsia"/>
          <w:highlight w:val="none"/>
          <w:lang w:eastAsia="zh-CN"/>
        </w:rPr>
        <w:t>“</w:t>
      </w:r>
      <w:r>
        <w:rPr>
          <w:rFonts w:hint="eastAsia"/>
          <w:highlight w:val="none"/>
        </w:rPr>
        <w:t>房住不炒</w:t>
      </w:r>
      <w:r>
        <w:rPr>
          <w:rFonts w:hint="eastAsia"/>
          <w:highlight w:val="none"/>
          <w:lang w:eastAsia="zh-CN"/>
        </w:rPr>
        <w:t>”</w:t>
      </w:r>
      <w:r>
        <w:rPr>
          <w:rFonts w:hint="eastAsia"/>
          <w:highlight w:val="none"/>
        </w:rPr>
        <w:t>定位，健全房地产市场监管与规范运行机制</w:t>
      </w:r>
      <w:r>
        <w:rPr>
          <w:rFonts w:hint="eastAsia"/>
          <w:highlight w:val="none"/>
          <w:lang w:eastAsia="zh-CN"/>
        </w:rPr>
        <w:t>。</w:t>
      </w:r>
      <w:r>
        <w:rPr>
          <w:rFonts w:hint="eastAsia"/>
          <w:highlight w:val="none"/>
        </w:rPr>
        <w:t>完善市场监测预警与风险防控体系，动态跟踪商品房销售、库存去化、土地供应及项目建设等关键指标，强化开发建设、预售许可、竣工验收全过程监管，严格落实预售资金监管，防范项目烂尾和交付风险，切实保障购房群众合法权益。加大市场秩序整治力度，严厉打击虚假宣传、价格欺诈、恶意炒作、违规销售等违法违规行为，规范中介机构经营管理，维护公平竞争的市场环境。</w:t>
      </w:r>
    </w:p>
    <w:p w14:paraId="59FB889E">
      <w:pPr>
        <w:pStyle w:val="5"/>
        <w:spacing w:beforeLines="0"/>
        <w:rPr>
          <w:rFonts w:hint="eastAsia"/>
          <w:highlight w:val="none"/>
          <w:lang w:val="en-US" w:eastAsia="zh-CN"/>
        </w:rPr>
      </w:pPr>
      <w:bookmarkStart w:id="367" w:name="_Toc2847"/>
      <w:bookmarkStart w:id="368" w:name="_Toc6126"/>
      <w:bookmarkStart w:id="369" w:name="_Toc25221"/>
      <w:bookmarkStart w:id="370" w:name="_Toc21478"/>
      <w:r>
        <w:rPr>
          <w:rFonts w:hint="eastAsia"/>
          <w:highlight w:val="none"/>
          <w:lang w:val="en-US" w:eastAsia="zh-CN"/>
        </w:rPr>
        <w:t>3.</w:t>
      </w:r>
      <w:r>
        <w:rPr>
          <w:rFonts w:hint="eastAsia"/>
          <w:highlight w:val="none"/>
        </w:rPr>
        <w:t>健全房地产行业信用监管体系。</w:t>
      </w:r>
      <w:bookmarkEnd w:id="361"/>
      <w:bookmarkEnd w:id="362"/>
      <w:bookmarkEnd w:id="367"/>
      <w:bookmarkEnd w:id="368"/>
      <w:bookmarkEnd w:id="369"/>
      <w:bookmarkEnd w:id="370"/>
    </w:p>
    <w:p w14:paraId="6B590BA0">
      <w:pPr>
        <w:bidi w:val="0"/>
        <w:spacing w:beforeLines="0" w:afterLines="0"/>
        <w:ind w:firstLine="640"/>
        <w:rPr>
          <w:rFonts w:hint="eastAsia"/>
          <w:highlight w:val="none"/>
        </w:rPr>
      </w:pPr>
      <w:r>
        <w:rPr>
          <w:rFonts w:hint="eastAsia"/>
          <w:highlight w:val="none"/>
        </w:rPr>
        <w:t>建立健全覆盖房地产开发企业、经纪机构、估价机构和物业服务企业的行业信用管理体系，完善企业信用档案和动态评价机制，推进信用信息归集共享和分级分类监管。强化信用结果应用，将信用状况与土地供应、项目审批、预售许可、资金监管等环节挂钩，形成守信激励、失信惩戒的长效机制。对存在违规销售、资金管理不规范、延期交付风险等问题的企业实施重点监管和风险提示，提升行业自律水平和风险防控能力，完善住房租赁市场管理制度，规范合同备案、租金</w:t>
      </w:r>
      <w:r>
        <w:rPr>
          <w:rFonts w:hint="eastAsia"/>
          <w:highlight w:val="none"/>
          <w:lang w:val="en-US" w:eastAsia="zh-CN"/>
        </w:rPr>
        <w:t>管理</w:t>
      </w:r>
      <w:r>
        <w:rPr>
          <w:rFonts w:hint="eastAsia"/>
          <w:highlight w:val="none"/>
        </w:rPr>
        <w:t>与房屋安全监管，促进租购市场协同健康发展。</w:t>
      </w:r>
    </w:p>
    <w:p w14:paraId="3FF0265C">
      <w:pPr>
        <w:pStyle w:val="5"/>
        <w:bidi w:val="0"/>
        <w:spacing w:beforeLines="0" w:afterLines="0"/>
        <w:rPr>
          <w:rFonts w:hint="default"/>
          <w:highlight w:val="none"/>
        </w:rPr>
      </w:pPr>
      <w:bookmarkStart w:id="371" w:name="_Toc10964"/>
      <w:bookmarkStart w:id="372" w:name="_Toc26185"/>
      <w:bookmarkStart w:id="373" w:name="_Toc6569"/>
      <w:bookmarkStart w:id="374" w:name="_Toc13108"/>
      <w:bookmarkStart w:id="375" w:name="_Toc23943"/>
      <w:bookmarkStart w:id="376" w:name="_Toc20593"/>
      <w:r>
        <w:rPr>
          <w:rFonts w:hint="eastAsia"/>
          <w:highlight w:val="none"/>
          <w:lang w:val="en-US" w:eastAsia="zh-CN"/>
        </w:rPr>
        <w:t>4</w:t>
      </w:r>
      <w:r>
        <w:rPr>
          <w:rFonts w:hint="default"/>
          <w:highlight w:val="none"/>
        </w:rPr>
        <w:t>.促进房地产企业提质转型。</w:t>
      </w:r>
      <w:bookmarkEnd w:id="371"/>
      <w:bookmarkEnd w:id="372"/>
      <w:bookmarkEnd w:id="373"/>
      <w:bookmarkEnd w:id="374"/>
      <w:bookmarkEnd w:id="375"/>
      <w:bookmarkEnd w:id="376"/>
    </w:p>
    <w:p w14:paraId="09458972">
      <w:pPr>
        <w:bidi w:val="0"/>
        <w:spacing w:beforeLines="0" w:afterLines="0"/>
        <w:ind w:firstLine="640"/>
        <w:rPr>
          <w:rFonts w:hint="eastAsia"/>
          <w:highlight w:val="none"/>
        </w:rPr>
      </w:pPr>
      <w:r>
        <w:rPr>
          <w:rFonts w:hint="eastAsia"/>
          <w:highlight w:val="none"/>
        </w:rPr>
        <w:t>引导房地产开发企业由规模扩张型发展向品质优先、稳健经营转型，强化产品研发能力和工程质量管控水平，提高绿色建筑和智慧住宅建设能力。鼓励企业探索</w:t>
      </w:r>
      <w:r>
        <w:rPr>
          <w:rFonts w:hint="eastAsia"/>
          <w:highlight w:val="none"/>
          <w:lang w:eastAsia="zh-CN"/>
        </w:rPr>
        <w:t>“</w:t>
      </w:r>
      <w:r>
        <w:rPr>
          <w:rFonts w:hint="eastAsia"/>
          <w:highlight w:val="none"/>
        </w:rPr>
        <w:t>开发建设+运营服务</w:t>
      </w:r>
      <w:r>
        <w:rPr>
          <w:rFonts w:hint="eastAsia"/>
          <w:highlight w:val="none"/>
          <w:lang w:eastAsia="zh-CN"/>
        </w:rPr>
        <w:t>”</w:t>
      </w:r>
      <w:r>
        <w:rPr>
          <w:rFonts w:hint="eastAsia"/>
          <w:highlight w:val="none"/>
        </w:rPr>
        <w:t>融合发展模式，拓展长租住房、城市更新、社区服务和资产运营等领域，增强持续经营能力和综合竞争力。加强企业财务风险监测和融资行为规范，推动优化资本结构和负债结构，促进房地产行业由高速增长向高质量发展转变。</w:t>
      </w:r>
    </w:p>
    <w:p w14:paraId="7A99C92C">
      <w:pPr>
        <w:pStyle w:val="5"/>
        <w:bidi w:val="0"/>
        <w:spacing w:beforeLines="0" w:afterLines="0"/>
        <w:rPr>
          <w:rFonts w:hint="default"/>
          <w:highlight w:val="none"/>
        </w:rPr>
      </w:pPr>
      <w:bookmarkStart w:id="377" w:name="_Toc23351"/>
      <w:bookmarkStart w:id="378" w:name="_Toc27583"/>
      <w:bookmarkStart w:id="379" w:name="_Toc10027"/>
      <w:bookmarkStart w:id="380" w:name="_Toc10137"/>
      <w:bookmarkStart w:id="381" w:name="_Toc2756"/>
      <w:bookmarkStart w:id="382" w:name="_Toc13096"/>
      <w:r>
        <w:rPr>
          <w:rFonts w:hint="eastAsia"/>
          <w:highlight w:val="none"/>
          <w:lang w:val="en-US" w:eastAsia="zh-CN"/>
        </w:rPr>
        <w:t>5</w:t>
      </w:r>
      <w:r>
        <w:rPr>
          <w:rFonts w:hint="default"/>
          <w:highlight w:val="none"/>
        </w:rPr>
        <w:t>.提升行业信息化管理水平。</w:t>
      </w:r>
      <w:bookmarkEnd w:id="377"/>
      <w:bookmarkEnd w:id="378"/>
      <w:bookmarkEnd w:id="379"/>
      <w:bookmarkEnd w:id="380"/>
      <w:bookmarkEnd w:id="381"/>
      <w:bookmarkEnd w:id="382"/>
    </w:p>
    <w:p w14:paraId="47B2681D">
      <w:pPr>
        <w:bidi w:val="0"/>
        <w:spacing w:beforeLines="0" w:afterLines="0"/>
        <w:ind w:firstLine="640"/>
        <w:rPr>
          <w:rFonts w:hint="eastAsia"/>
          <w:highlight w:val="none"/>
        </w:rPr>
      </w:pPr>
      <w:r>
        <w:rPr>
          <w:rFonts w:hint="eastAsia"/>
          <w:highlight w:val="none"/>
        </w:rPr>
        <w:t>加快房地产行业数字化建设，整合土地供应、项目审批、建设监管、销售备案、资金监管和物业管理等数据资源，构建统一高效的房地产信息管理平台，实现业务协同和数据共享。推进线上审批和全过程电子化监管，提高行政效率和监管透明度。运用大数据分析加强市场运行监测和趋势研判，建立库存、价格和风险预警机制，为科学决策和精准调控提供数据支撑，全面提升房地产行业治理现代化水平。</w:t>
      </w:r>
    </w:p>
    <w:p w14:paraId="40983339">
      <w:pPr>
        <w:pStyle w:val="5"/>
        <w:bidi w:val="0"/>
        <w:spacing w:beforeLines="0" w:afterLines="0"/>
        <w:rPr>
          <w:rFonts w:hint="eastAsia"/>
          <w:highlight w:val="none"/>
          <w:lang w:val="en-US" w:eastAsia="zh-CN"/>
        </w:rPr>
      </w:pPr>
      <w:bookmarkStart w:id="383" w:name="_Toc30336"/>
      <w:bookmarkStart w:id="384" w:name="_Toc12439"/>
      <w:bookmarkStart w:id="385" w:name="_Toc22448"/>
      <w:bookmarkStart w:id="386" w:name="_Toc10563"/>
      <w:r>
        <w:rPr>
          <w:rFonts w:hint="eastAsia"/>
          <w:highlight w:val="none"/>
          <w:lang w:val="en-US" w:eastAsia="zh-CN"/>
        </w:rPr>
        <w:t>6.深化公积金制度改革。</w:t>
      </w:r>
      <w:bookmarkEnd w:id="383"/>
      <w:bookmarkEnd w:id="384"/>
      <w:bookmarkEnd w:id="385"/>
      <w:bookmarkEnd w:id="386"/>
    </w:p>
    <w:p w14:paraId="67423094">
      <w:pPr>
        <w:bidi w:val="0"/>
        <w:spacing w:beforeLines="0" w:afterLines="0"/>
        <w:ind w:firstLine="640"/>
        <w:rPr>
          <w:rFonts w:hint="default"/>
          <w:highlight w:val="none"/>
          <w:lang w:val="en-US" w:eastAsia="zh-CN"/>
        </w:rPr>
      </w:pPr>
      <w:r>
        <w:rPr>
          <w:rFonts w:hint="default"/>
          <w:highlight w:val="none"/>
          <w:lang w:val="en-US" w:eastAsia="zh-CN"/>
        </w:rPr>
        <w:t>扩大缴存覆盖范围，巩固机关事业单位、国企缴存</w:t>
      </w:r>
      <w:r>
        <w:rPr>
          <w:rFonts w:hint="eastAsia"/>
          <w:highlight w:val="none"/>
          <w:lang w:val="en-US" w:eastAsia="zh-CN"/>
        </w:rPr>
        <w:t>，</w:t>
      </w:r>
      <w:r>
        <w:rPr>
          <w:rFonts w:hint="default"/>
          <w:highlight w:val="none"/>
          <w:lang w:val="en-US" w:eastAsia="zh-CN"/>
        </w:rPr>
        <w:t>重点加大对民营企业、中小企业的归集力度，并完善灵活就业人员缴存政策，保障新就业形态劳动者权益，逐步缩小缴存差距</w:t>
      </w:r>
      <w:r>
        <w:rPr>
          <w:rFonts w:hint="eastAsia"/>
          <w:highlight w:val="none"/>
          <w:lang w:val="en-US" w:eastAsia="zh-CN"/>
        </w:rPr>
        <w:t>。</w:t>
      </w:r>
      <w:r>
        <w:rPr>
          <w:rFonts w:hint="default"/>
          <w:highlight w:val="none"/>
          <w:lang w:val="en-US" w:eastAsia="zh-CN"/>
        </w:rPr>
        <w:t>坚持</w:t>
      </w:r>
      <w:r>
        <w:rPr>
          <w:rFonts w:hint="eastAsia"/>
          <w:highlight w:val="none"/>
          <w:lang w:val="en-US" w:eastAsia="zh-CN"/>
        </w:rPr>
        <w:t>“</w:t>
      </w:r>
      <w:r>
        <w:rPr>
          <w:rFonts w:hint="default"/>
          <w:highlight w:val="none"/>
          <w:lang w:val="en-US" w:eastAsia="zh-CN"/>
        </w:rPr>
        <w:t>租购并举</w:t>
      </w:r>
      <w:r>
        <w:rPr>
          <w:rFonts w:hint="eastAsia"/>
          <w:highlight w:val="none"/>
          <w:lang w:val="en-US" w:eastAsia="zh-CN"/>
        </w:rPr>
        <w:t>”</w:t>
      </w:r>
      <w:r>
        <w:rPr>
          <w:rFonts w:hint="default"/>
          <w:highlight w:val="none"/>
          <w:lang w:val="en-US" w:eastAsia="zh-CN"/>
        </w:rPr>
        <w:t>，通过放宽提取年限、支持直系亲属互助提取、优化租房提取额度与频次、动态调整贷款限额及推行</w:t>
      </w:r>
      <w:r>
        <w:rPr>
          <w:rFonts w:hint="eastAsia"/>
          <w:highlight w:val="none"/>
          <w:lang w:val="en-US" w:eastAsia="zh-CN"/>
        </w:rPr>
        <w:t>“</w:t>
      </w:r>
      <w:r>
        <w:rPr>
          <w:rFonts w:hint="default"/>
          <w:highlight w:val="none"/>
          <w:lang w:val="en-US" w:eastAsia="zh-CN"/>
        </w:rPr>
        <w:t>商转公</w:t>
      </w:r>
      <w:r>
        <w:rPr>
          <w:rFonts w:hint="eastAsia"/>
          <w:highlight w:val="none"/>
          <w:lang w:val="en-US" w:eastAsia="zh-CN"/>
        </w:rPr>
        <w:t>”“</w:t>
      </w:r>
      <w:r>
        <w:rPr>
          <w:rFonts w:hint="default"/>
          <w:highlight w:val="none"/>
          <w:lang w:val="en-US" w:eastAsia="zh-CN"/>
        </w:rPr>
        <w:t>带押过户</w:t>
      </w:r>
      <w:r>
        <w:rPr>
          <w:rFonts w:hint="eastAsia"/>
          <w:highlight w:val="none"/>
          <w:lang w:val="en-US" w:eastAsia="zh-CN"/>
        </w:rPr>
        <w:t>”</w:t>
      </w:r>
      <w:r>
        <w:rPr>
          <w:rFonts w:hint="default"/>
          <w:highlight w:val="none"/>
          <w:lang w:val="en-US" w:eastAsia="zh-CN"/>
        </w:rPr>
        <w:t>等便民举措，降低职工购房融资成本</w:t>
      </w:r>
      <w:r>
        <w:rPr>
          <w:rFonts w:hint="eastAsia"/>
          <w:highlight w:val="none"/>
          <w:lang w:val="en-US" w:eastAsia="zh-CN"/>
        </w:rPr>
        <w:t>。</w:t>
      </w:r>
    </w:p>
    <w:p w14:paraId="57B6C1A6">
      <w:pPr>
        <w:pStyle w:val="4"/>
        <w:bidi w:val="0"/>
        <w:rPr>
          <w:rFonts w:hint="default"/>
          <w:highlight w:val="none"/>
          <w:lang w:val="en-US" w:eastAsia="zh-CN"/>
        </w:rPr>
      </w:pPr>
      <w:bookmarkStart w:id="387" w:name="_Toc17309"/>
      <w:bookmarkStart w:id="388" w:name="_Toc10009"/>
      <w:bookmarkStart w:id="389" w:name="_Toc27069"/>
      <w:bookmarkStart w:id="390" w:name="_Toc28005"/>
      <w:bookmarkStart w:id="391" w:name="_Toc28619"/>
      <w:bookmarkStart w:id="392" w:name="_Toc28103"/>
      <w:bookmarkStart w:id="393" w:name="_Toc10303"/>
      <w:bookmarkStart w:id="394" w:name="_Toc9415"/>
      <w:bookmarkStart w:id="395" w:name="_Toc19053"/>
      <w:bookmarkStart w:id="396" w:name="_Toc2396"/>
      <w:bookmarkStart w:id="397" w:name="_Toc21367"/>
      <w:bookmarkStart w:id="398" w:name="_Toc13663"/>
      <w:bookmarkStart w:id="399" w:name="_Toc23899"/>
      <w:bookmarkStart w:id="400" w:name="_Toc9586"/>
      <w:r>
        <w:rPr>
          <w:rFonts w:hint="eastAsia"/>
          <w:highlight w:val="none"/>
          <w:lang w:val="en-US" w:eastAsia="zh-CN"/>
        </w:rPr>
        <w:t>（四）稳步提升住区居住品质</w:t>
      </w:r>
      <w:bookmarkEnd w:id="353"/>
      <w:bookmarkEnd w:id="354"/>
      <w:bookmarkEnd w:id="355"/>
      <w:bookmarkEnd w:id="356"/>
      <w:bookmarkEnd w:id="387"/>
      <w:bookmarkEnd w:id="388"/>
      <w:bookmarkEnd w:id="389"/>
      <w:r>
        <w:rPr>
          <w:rFonts w:hint="eastAsia"/>
          <w:highlight w:val="none"/>
          <w:lang w:val="en-US" w:eastAsia="zh-CN"/>
        </w:rPr>
        <w:t>服务水平</w:t>
      </w:r>
      <w:bookmarkEnd w:id="390"/>
      <w:bookmarkEnd w:id="391"/>
      <w:bookmarkEnd w:id="392"/>
      <w:bookmarkEnd w:id="393"/>
      <w:bookmarkEnd w:id="394"/>
      <w:bookmarkEnd w:id="395"/>
      <w:bookmarkEnd w:id="396"/>
      <w:bookmarkEnd w:id="397"/>
      <w:bookmarkEnd w:id="398"/>
      <w:bookmarkEnd w:id="399"/>
      <w:bookmarkEnd w:id="400"/>
    </w:p>
    <w:p w14:paraId="4FE4B1A9">
      <w:pPr>
        <w:pStyle w:val="5"/>
        <w:bidi w:val="0"/>
        <w:rPr>
          <w:rFonts w:hint="eastAsia"/>
          <w:highlight w:val="none"/>
          <w:lang w:val="en-US" w:eastAsia="zh-CN"/>
        </w:rPr>
      </w:pPr>
      <w:bookmarkStart w:id="401" w:name="_Toc950"/>
      <w:bookmarkStart w:id="402" w:name="_Toc24036"/>
      <w:bookmarkStart w:id="403" w:name="_Toc13722"/>
      <w:bookmarkStart w:id="404" w:name="_Toc8256"/>
      <w:bookmarkStart w:id="405" w:name="_Toc4810"/>
      <w:bookmarkStart w:id="406" w:name="_Toc17698"/>
      <w:r>
        <w:rPr>
          <w:rFonts w:hint="eastAsia"/>
          <w:highlight w:val="none"/>
          <w:lang w:val="en-US" w:eastAsia="zh-CN"/>
        </w:rPr>
        <w:t>1.推进“好房子”建设。</w:t>
      </w:r>
      <w:bookmarkEnd w:id="401"/>
      <w:bookmarkEnd w:id="402"/>
      <w:bookmarkEnd w:id="403"/>
      <w:bookmarkEnd w:id="404"/>
      <w:bookmarkEnd w:id="405"/>
      <w:bookmarkEnd w:id="406"/>
    </w:p>
    <w:p w14:paraId="5A9EC2A1">
      <w:pPr>
        <w:rPr>
          <w:rFonts w:hint="eastAsia" w:ascii="Times New Roman" w:hAnsi="Times New Roman" w:cs="Times New Roman"/>
          <w:highlight w:val="none"/>
          <w:lang w:val="en-US" w:eastAsia="zh-CN"/>
        </w:rPr>
      </w:pPr>
      <w:r>
        <w:rPr>
          <w:rFonts w:hint="eastAsia" w:ascii="Times New Roman" w:hAnsi="Times New Roman" w:cs="Times New Roman"/>
          <w:highlight w:val="none"/>
        </w:rPr>
        <w:t>以安全、舒适、绿色、智慧为核心，建设符合现代居住需求的高品质住房。制定并发布南阳市“好房子”技术导则，明确支持政策。从好标准、好设计、好建造、好材料、好运维等方面完善</w:t>
      </w:r>
      <w:r>
        <w:rPr>
          <w:rFonts w:hint="eastAsia" w:cs="Times New Roman"/>
          <w:highlight w:val="none"/>
          <w:lang w:eastAsia="zh-CN"/>
        </w:rPr>
        <w:t>“</w:t>
      </w:r>
      <w:r>
        <w:rPr>
          <w:rFonts w:hint="eastAsia" w:ascii="Times New Roman" w:hAnsi="Times New Roman" w:cs="Times New Roman"/>
          <w:highlight w:val="none"/>
        </w:rPr>
        <w:t>好房子</w:t>
      </w:r>
      <w:r>
        <w:rPr>
          <w:rFonts w:hint="eastAsia" w:cs="Times New Roman"/>
          <w:highlight w:val="none"/>
          <w:lang w:eastAsia="zh-CN"/>
        </w:rPr>
        <w:t>”</w:t>
      </w:r>
      <w:r>
        <w:rPr>
          <w:rFonts w:hint="eastAsia" w:ascii="Times New Roman" w:hAnsi="Times New Roman" w:cs="Times New Roman"/>
          <w:highlight w:val="none"/>
        </w:rPr>
        <w:t>全生命周期相关标准规范</w:t>
      </w:r>
      <w:r>
        <w:rPr>
          <w:rFonts w:hint="eastAsia" w:cs="Times New Roman"/>
          <w:highlight w:val="none"/>
          <w:lang w:eastAsia="zh-CN"/>
        </w:rPr>
        <w:t>，</w:t>
      </w:r>
      <w:r>
        <w:rPr>
          <w:rFonts w:hint="eastAsia" w:cs="Times New Roman"/>
          <w:highlight w:val="none"/>
        </w:rPr>
        <w:t>将</w:t>
      </w:r>
      <w:r>
        <w:rPr>
          <w:rFonts w:hint="eastAsia" w:cs="Times New Roman"/>
          <w:highlight w:val="none"/>
          <w:lang w:eastAsia="zh-CN"/>
        </w:rPr>
        <w:t>“</w:t>
      </w:r>
      <w:r>
        <w:rPr>
          <w:rFonts w:hint="eastAsia" w:cs="Times New Roman"/>
          <w:highlight w:val="none"/>
        </w:rPr>
        <w:t>抬板式住宅</w:t>
      </w:r>
      <w:r>
        <w:rPr>
          <w:rFonts w:hint="eastAsia" w:cs="Times New Roman"/>
          <w:highlight w:val="none"/>
          <w:lang w:eastAsia="zh-CN"/>
        </w:rPr>
        <w:t>”</w:t>
      </w:r>
      <w:r>
        <w:rPr>
          <w:rFonts w:hint="eastAsia" w:cs="Times New Roman"/>
          <w:highlight w:val="none"/>
          <w:lang w:val="en-US" w:eastAsia="zh-CN"/>
        </w:rPr>
        <w:t>规划技术</w:t>
      </w:r>
      <w:r>
        <w:rPr>
          <w:rFonts w:hint="eastAsia" w:cs="Times New Roman"/>
          <w:highlight w:val="none"/>
        </w:rPr>
        <w:t>的空间重构、立体分层、人车分流、近零公摊等技术要求纳入标准体系。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38B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8CCF90D">
            <w:pPr>
              <w:bidi w:val="0"/>
              <w:ind w:firstLine="0" w:firstLineChars="0"/>
              <w:jc w:val="center"/>
              <w:rPr>
                <w:rFonts w:hint="eastAsia" w:ascii="楷体_GB2312" w:hAnsi="楷体_GB2312" w:eastAsia="楷体_GB2312" w:cs="楷体_GB2312"/>
                <w:highlight w:val="none"/>
                <w:vertAlign w:val="baseline"/>
                <w:lang w:val="en-US" w:eastAsia="zh-CN"/>
              </w:rPr>
            </w:pPr>
            <w:r>
              <w:rPr>
                <w:rFonts w:hint="eastAsia" w:ascii="黑体" w:hAnsi="黑体" w:eastAsia="黑体" w:cs="黑体"/>
                <w:highlight w:val="none"/>
                <w:vertAlign w:val="baseline"/>
                <w:lang w:val="en-US" w:eastAsia="zh-CN"/>
              </w:rPr>
              <w:t>专栏5：“好房子”建设工程</w:t>
            </w:r>
          </w:p>
        </w:tc>
      </w:tr>
      <w:tr w14:paraId="09EE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AA16664">
            <w:pPr>
              <w:bidi w:val="0"/>
              <w:ind w:firstLine="560"/>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目标：</w:t>
            </w:r>
            <w:r>
              <w:rPr>
                <w:rFonts w:hint="eastAsia" w:ascii="仿宋_GB2312" w:hAnsi="仿宋_GB2312" w:cs="仿宋_GB2312"/>
                <w:sz w:val="28"/>
                <w:szCs w:val="28"/>
                <w:highlight w:val="none"/>
                <w:vertAlign w:val="baseline"/>
                <w:lang w:val="en-US" w:eastAsia="zh-CN"/>
              </w:rPr>
              <w:t>力争</w:t>
            </w:r>
            <w:r>
              <w:rPr>
                <w:rFonts w:hint="eastAsia" w:ascii="仿宋_GB2312" w:hAnsi="仿宋_GB2312" w:cs="仿宋_GB2312"/>
                <w:sz w:val="28"/>
                <w:szCs w:val="28"/>
                <w:highlight w:val="none"/>
              </w:rPr>
              <w:t>每年打造2—3个具有示范引领作用的</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好房子</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rPr>
              <w:t>样板项目，逐步形成可推广的建设标准和实施路径，推动南阳市住房品质整体提升。</w:t>
            </w:r>
          </w:p>
          <w:p w14:paraId="4C5BD5D5">
            <w:pPr>
              <w:bidi w:val="0"/>
              <w:ind w:firstLine="56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措施：</w:t>
            </w:r>
          </w:p>
          <w:p w14:paraId="7F9CD7E0">
            <w:pPr>
              <w:bidi w:val="0"/>
              <w:ind w:firstLine="560"/>
              <w:rPr>
                <w:rFonts w:hint="eastAsia" w:ascii="仿宋_GB2312" w:hAnsi="仿宋_GB2312" w:cs="仿宋_GB2312"/>
                <w:sz w:val="28"/>
                <w:szCs w:val="28"/>
                <w:highlight w:val="none"/>
              </w:rPr>
            </w:pPr>
            <w:r>
              <w:rPr>
                <w:rFonts w:hint="eastAsia" w:ascii="仿宋_GB2312" w:hAnsi="仿宋_GB2312" w:cs="仿宋_GB2312"/>
                <w:b/>
                <w:bCs/>
                <w:sz w:val="28"/>
                <w:szCs w:val="28"/>
                <w:highlight w:val="none"/>
                <w:lang w:val="en-US" w:eastAsia="zh-CN"/>
              </w:rPr>
              <w:t>1.</w:t>
            </w:r>
            <w:r>
              <w:rPr>
                <w:rFonts w:hint="eastAsia" w:ascii="仿宋_GB2312" w:hAnsi="仿宋_GB2312" w:cs="仿宋_GB2312"/>
                <w:b/>
                <w:bCs/>
                <w:sz w:val="28"/>
                <w:szCs w:val="28"/>
                <w:highlight w:val="none"/>
              </w:rPr>
              <w:t>健全高品质住宅标准体系，</w:t>
            </w:r>
            <w:r>
              <w:rPr>
                <w:rFonts w:hint="eastAsia" w:ascii="仿宋_GB2312" w:hAnsi="仿宋_GB2312" w:cs="仿宋_GB2312"/>
                <w:sz w:val="28"/>
                <w:szCs w:val="28"/>
                <w:highlight w:val="none"/>
              </w:rPr>
              <w:t>严格执行《住宅项目规范》等国家工程建设强制性标准，细化落实《南阳市高品质住宅设计导则（试行）》相关要求，研究出台《南阳市高品质住宅建设指导意见》，进一步明确建筑安全、功能品质、绿色低碳、智慧宜居、全龄友好等核心技术指标，引领住宅建设从“合规基本型”向“品质宜居型”提档升级。</w:t>
            </w:r>
          </w:p>
          <w:p w14:paraId="0877EB64">
            <w:pPr>
              <w:bidi w:val="0"/>
              <w:ind w:firstLine="560"/>
              <w:rPr>
                <w:rFonts w:hint="eastAsia" w:ascii="仿宋_GB2312" w:hAnsi="仿宋_GB2312" w:cs="仿宋_GB2312"/>
                <w:sz w:val="28"/>
                <w:szCs w:val="28"/>
                <w:highlight w:val="none"/>
              </w:rPr>
            </w:pPr>
            <w:r>
              <w:rPr>
                <w:rFonts w:hint="eastAsia" w:ascii="仿宋_GB2312" w:hAnsi="仿宋_GB2312" w:cs="仿宋_GB2312"/>
                <w:b/>
                <w:bCs/>
                <w:sz w:val="28"/>
                <w:szCs w:val="28"/>
                <w:highlight w:val="none"/>
                <w:lang w:val="en-US" w:eastAsia="zh-CN"/>
              </w:rPr>
              <w:t>2.</w:t>
            </w:r>
            <w:r>
              <w:rPr>
                <w:rFonts w:hint="eastAsia" w:ascii="仿宋_GB2312" w:hAnsi="仿宋_GB2312" w:cs="仿宋_GB2312"/>
                <w:b/>
                <w:bCs/>
                <w:sz w:val="28"/>
                <w:szCs w:val="28"/>
                <w:highlight w:val="none"/>
              </w:rPr>
              <w:t>构建全链条协同的“好房子”产业生态，</w:t>
            </w:r>
            <w:r>
              <w:rPr>
                <w:rFonts w:hint="eastAsia" w:ascii="仿宋_GB2312" w:hAnsi="仿宋_GB2312" w:cs="仿宋_GB2312"/>
                <w:sz w:val="28"/>
                <w:szCs w:val="28"/>
                <w:highlight w:val="none"/>
              </w:rPr>
              <w:t>联合开发、设计、施工、建材、部品部件、装饰装修、物业服务、智能家居等市场主体，建立技术共享、标准共研、质量共管机制，推动产业链延链补链强链，提升住宅建造工业化、集成化和精细化水平，实现从单一项目建设向产业整体提质升级。</w:t>
            </w:r>
          </w:p>
          <w:p w14:paraId="7B32CE1B">
            <w:pPr>
              <w:ind w:firstLine="560"/>
              <w:rPr>
                <w:rFonts w:hint="eastAsia" w:ascii="仿宋_GB2312" w:hAnsi="仿宋_GB2312" w:cs="仿宋_GB2312"/>
                <w:b w:val="0"/>
                <w:bCs w:val="0"/>
                <w:sz w:val="28"/>
                <w:szCs w:val="28"/>
                <w:highlight w:val="none"/>
                <w:lang w:eastAsia="zh-CN"/>
              </w:rPr>
            </w:pPr>
            <w:r>
              <w:rPr>
                <w:rFonts w:hint="eastAsia" w:ascii="仿宋_GB2312" w:hAnsi="仿宋_GB2312" w:cs="仿宋_GB2312"/>
                <w:b/>
                <w:bCs/>
                <w:sz w:val="28"/>
                <w:szCs w:val="28"/>
                <w:highlight w:val="none"/>
                <w:lang w:val="en-US" w:eastAsia="zh-CN"/>
              </w:rPr>
              <w:t>3.发挥示范引领作用。</w:t>
            </w:r>
            <w:r>
              <w:rPr>
                <w:rFonts w:hint="eastAsia" w:ascii="仿宋_GB2312" w:hAnsi="仿宋_GB2312" w:cs="仿宋_GB2312"/>
                <w:b w:val="0"/>
                <w:bCs w:val="0"/>
                <w:sz w:val="28"/>
                <w:szCs w:val="28"/>
                <w:highlight w:val="none"/>
                <w:lang w:val="en-US" w:eastAsia="zh-CN"/>
              </w:rPr>
              <w:t>充分发挥“好房子”联盟在标准推广、技术协同和产品集成方面的引领作用，推动规划设计、开发建设、建材设备和物业服务等主体协同发力，打造一批可复制、可推广的高品质“好房子”项目。</w:t>
            </w:r>
          </w:p>
          <w:p w14:paraId="437736E6">
            <w:pPr>
              <w:bidi w:val="0"/>
              <w:ind w:firstLine="560"/>
              <w:rPr>
                <w:rFonts w:hint="eastAsia" w:ascii="仿宋_GB2312" w:hAnsi="仿宋_GB2312" w:cs="仿宋_GB2312"/>
                <w:sz w:val="28"/>
                <w:szCs w:val="28"/>
                <w:highlight w:val="none"/>
              </w:rPr>
            </w:pPr>
            <w:r>
              <w:rPr>
                <w:rFonts w:hint="eastAsia" w:ascii="仿宋_GB2312" w:hAnsi="仿宋_GB2312" w:cs="仿宋_GB2312"/>
                <w:b/>
                <w:bCs/>
                <w:sz w:val="28"/>
                <w:szCs w:val="28"/>
                <w:highlight w:val="none"/>
                <w:lang w:val="en-US" w:eastAsia="zh-CN"/>
              </w:rPr>
              <w:t>4.</w:t>
            </w:r>
            <w:r>
              <w:rPr>
                <w:rFonts w:hint="eastAsia" w:ascii="仿宋_GB2312" w:hAnsi="仿宋_GB2312" w:cs="仿宋_GB2312"/>
                <w:b/>
                <w:bCs/>
                <w:sz w:val="28"/>
                <w:szCs w:val="28"/>
                <w:highlight w:val="none"/>
              </w:rPr>
              <w:t>强化全生命周期质量管控，</w:t>
            </w:r>
            <w:r>
              <w:rPr>
                <w:rFonts w:hint="eastAsia" w:ascii="仿宋_GB2312" w:hAnsi="仿宋_GB2312" w:cs="仿宋_GB2312"/>
                <w:sz w:val="28"/>
                <w:szCs w:val="28"/>
                <w:highlight w:val="none"/>
              </w:rPr>
              <w:t>推行“一房一码”数字化档案、房屋定期体检等制度，完善设计审查、施工过程监管、竣工验收、交付使用和后期运维全过程管理，明确质量责任追溯机制，提升住房耐久性与居住安全性，切实保障购房人合法权益。</w:t>
            </w:r>
          </w:p>
          <w:p w14:paraId="752EF6CD">
            <w:pPr>
              <w:ind w:firstLine="560"/>
              <w:rPr>
                <w:rFonts w:hint="default"/>
                <w:lang w:val="en-US" w:eastAsia="zh-CN"/>
              </w:rPr>
            </w:pPr>
            <w:r>
              <w:rPr>
                <w:rFonts w:hint="eastAsia" w:ascii="仿宋_GB2312" w:hAnsi="仿宋_GB2312" w:cs="仿宋_GB2312"/>
                <w:b/>
                <w:bCs/>
                <w:sz w:val="28"/>
                <w:szCs w:val="28"/>
                <w:highlight w:val="none"/>
                <w:lang w:val="en-US" w:eastAsia="zh-CN"/>
              </w:rPr>
              <w:t>5.</w:t>
            </w:r>
            <w:r>
              <w:rPr>
                <w:rFonts w:hint="eastAsia" w:ascii="仿宋_GB2312" w:hAnsi="仿宋_GB2312" w:cs="仿宋_GB2312"/>
                <w:b/>
                <w:bCs/>
                <w:sz w:val="28"/>
                <w:szCs w:val="28"/>
                <w:highlight w:val="none"/>
              </w:rPr>
              <w:t>优化政策激励与要素保障机制，</w:t>
            </w:r>
            <w:r>
              <w:rPr>
                <w:rFonts w:hint="eastAsia" w:ascii="仿宋_GB2312" w:hAnsi="仿宋_GB2312" w:cs="仿宋_GB2312"/>
                <w:sz w:val="28"/>
                <w:szCs w:val="28"/>
                <w:highlight w:val="none"/>
              </w:rPr>
              <w:t>明确对“好房子”项目在土地出让、容积率奖励、审批服务等方面的支持政策，增强企业参与的积极性。优先在中心城区、新建住宅及城市更新片区实施示范项目，通过样板带动标准落地与模式复制，形成可持续的高品质住房建设机制。</w:t>
            </w:r>
          </w:p>
        </w:tc>
      </w:tr>
    </w:tbl>
    <w:p w14:paraId="69B32F31">
      <w:pPr>
        <w:pStyle w:val="5"/>
        <w:bidi w:val="0"/>
        <w:rPr>
          <w:rFonts w:hint="default"/>
          <w:highlight w:val="none"/>
          <w:lang w:val="en-US" w:eastAsia="zh-CN"/>
        </w:rPr>
      </w:pPr>
      <w:bookmarkStart w:id="407" w:name="_Toc24007"/>
      <w:bookmarkStart w:id="408" w:name="_Toc6970"/>
      <w:bookmarkStart w:id="409" w:name="_Toc26243"/>
      <w:bookmarkStart w:id="410" w:name="_Toc30834"/>
      <w:bookmarkStart w:id="411" w:name="_Toc29703"/>
      <w:bookmarkStart w:id="412" w:name="_Toc22105"/>
      <w:r>
        <w:rPr>
          <w:rFonts w:hint="eastAsia"/>
          <w:highlight w:val="none"/>
          <w:lang w:val="en-US" w:eastAsia="zh-CN"/>
        </w:rPr>
        <w:t>2.稳步开展全龄友好型完整社区建设。</w:t>
      </w:r>
      <w:bookmarkEnd w:id="407"/>
      <w:bookmarkEnd w:id="408"/>
      <w:bookmarkEnd w:id="409"/>
      <w:bookmarkEnd w:id="410"/>
      <w:bookmarkEnd w:id="411"/>
      <w:bookmarkEnd w:id="412"/>
    </w:p>
    <w:p w14:paraId="52DBEA89">
      <w:pPr>
        <w:rPr>
          <w:rFonts w:hint="default" w:ascii="Times New Roman" w:hAnsi="Times New Roman" w:eastAsia="仿宋_GB2312" w:cs="Times New Roman"/>
          <w:highlight w:val="none"/>
          <w:lang w:val="en-US" w:eastAsia="zh-CN"/>
        </w:rPr>
      </w:pPr>
      <w:r>
        <w:rPr>
          <w:rFonts w:hint="eastAsia"/>
          <w:highlight w:val="none"/>
        </w:rPr>
        <w:t>系统推进全龄友好型完整社区建设，统筹完善居住、教育、医疗、养老、商业、文化等功能配套，提升社区综合服务能力。优化社区公共空间和设施布局，加强绿色景观、健身设施、儿童活动场地和社区服务中心建设，满足居民多层次、全周期生活需求。完善社区交通组织，强化无障碍设施和安全防护体系，提升社区宜居性和生活便利度。推动社区运营管理和服务模式创新，促进社区功能完善与住房品质提升协同推进。结合人口老龄化趋势，推广</w:t>
      </w:r>
      <w:r>
        <w:rPr>
          <w:rFonts w:hint="eastAsia"/>
          <w:highlight w:val="none"/>
          <w:lang w:eastAsia="zh-CN"/>
        </w:rPr>
        <w:t>“</w:t>
      </w:r>
      <w:r>
        <w:rPr>
          <w:rFonts w:hint="eastAsia"/>
          <w:highlight w:val="none"/>
        </w:rPr>
        <w:t>急救保命+生活服务+中医康养</w:t>
      </w:r>
      <w:r>
        <w:rPr>
          <w:rFonts w:hint="eastAsia"/>
          <w:highlight w:val="none"/>
          <w:lang w:eastAsia="zh-CN"/>
        </w:rPr>
        <w:t>”</w:t>
      </w:r>
      <w:r>
        <w:rPr>
          <w:rFonts w:hint="eastAsia"/>
          <w:highlight w:val="none"/>
        </w:rPr>
        <w:t>的新型居家养老住房模式，为老年群体营造安全、便利、健康的居住环境。</w:t>
      </w:r>
      <w:r>
        <w:rPr>
          <w:rFonts w:hint="eastAsia"/>
          <w:highlight w:val="none"/>
          <w:lang w:val="en-US" w:eastAsia="zh-CN"/>
        </w:rPr>
        <w:t>力争</w:t>
      </w:r>
      <w:r>
        <w:rPr>
          <w:rFonts w:hint="eastAsia"/>
          <w:highlight w:val="none"/>
        </w:rPr>
        <w:t>“十五五”末累计完成60%以上完整社区建设。</w:t>
      </w:r>
    </w:p>
    <w:p w14:paraId="0139C170">
      <w:pPr>
        <w:pStyle w:val="5"/>
        <w:bidi w:val="0"/>
        <w:rPr>
          <w:rFonts w:hint="eastAsia"/>
          <w:highlight w:val="none"/>
          <w:lang w:val="en-US" w:eastAsia="zh-CN"/>
        </w:rPr>
      </w:pPr>
      <w:bookmarkStart w:id="413" w:name="_Toc26711"/>
      <w:bookmarkStart w:id="414" w:name="_Toc5053"/>
      <w:bookmarkStart w:id="415" w:name="_Toc19349"/>
      <w:bookmarkStart w:id="416" w:name="_Toc8331"/>
      <w:bookmarkStart w:id="417" w:name="_Toc22414"/>
      <w:bookmarkStart w:id="418" w:name="_Toc28662"/>
      <w:r>
        <w:rPr>
          <w:rFonts w:hint="eastAsia"/>
          <w:highlight w:val="none"/>
          <w:lang w:val="en-US" w:eastAsia="zh-CN"/>
        </w:rPr>
        <w:t>3.全面实施物业服务质量提升行动。</w:t>
      </w:r>
      <w:bookmarkEnd w:id="413"/>
      <w:bookmarkEnd w:id="414"/>
      <w:bookmarkEnd w:id="415"/>
      <w:bookmarkEnd w:id="416"/>
      <w:bookmarkEnd w:id="417"/>
      <w:bookmarkEnd w:id="418"/>
    </w:p>
    <w:p w14:paraId="0E4DC9DA">
      <w:pPr>
        <w:rPr>
          <w:rFonts w:hint="eastAsia"/>
          <w:highlight w:val="none"/>
          <w:lang w:eastAsia="zh-CN"/>
        </w:rPr>
      </w:pPr>
      <w:r>
        <w:rPr>
          <w:rFonts w:hint="eastAsia"/>
          <w:highlight w:val="none"/>
          <w:lang w:eastAsia="zh-CN"/>
        </w:rPr>
        <w:t>建立标准化、智能化和专业化管理体系，加强社区安全、环境维护和公共设施运维，推广智慧物业管理系统，应用信息化手段开展日常巡检、报修响应、运行监控和服务监督，提高管理效率和透明度。积极拓展“物业+生活服务”模式，整合社区便民服务、养老护理、文化娱乐等功能，提升社区服务能力和居民幸福感。</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E2D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3F2C39E">
            <w:pPr>
              <w:bidi w:val="0"/>
              <w:ind w:firstLine="0" w:firstLineChars="0"/>
              <w:jc w:val="center"/>
              <w:rPr>
                <w:rFonts w:hint="eastAsia" w:ascii="楷体_GB2312" w:hAnsi="楷体_GB2312" w:eastAsia="楷体_GB2312" w:cs="楷体_GB2312"/>
                <w:highlight w:val="none"/>
                <w:vertAlign w:val="baseline"/>
                <w:lang w:val="en-US" w:eastAsia="zh-CN"/>
              </w:rPr>
            </w:pPr>
            <w:r>
              <w:rPr>
                <w:rFonts w:hint="eastAsia" w:ascii="黑体" w:hAnsi="黑体" w:eastAsia="黑体" w:cs="黑体"/>
                <w:highlight w:val="none"/>
                <w:vertAlign w:val="baseline"/>
                <w:lang w:val="en-US" w:eastAsia="zh-CN"/>
              </w:rPr>
              <w:t>专栏6：</w:t>
            </w:r>
            <w:r>
              <w:rPr>
                <w:rFonts w:hint="eastAsia" w:ascii="黑体" w:hAnsi="黑体" w:eastAsia="黑体" w:cs="黑体"/>
                <w:highlight w:val="none"/>
              </w:rPr>
              <w:t>物业服务质量提升工程</w:t>
            </w:r>
          </w:p>
        </w:tc>
      </w:tr>
      <w:tr w14:paraId="0A03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1937D69">
            <w:pPr>
              <w:outlineLvl w:val="9"/>
              <w:rPr>
                <w:rFonts w:hint="eastAsia" w:ascii="仿宋_GB2312" w:hAnsi="仿宋_GB2312" w:cs="仿宋_GB2312"/>
                <w:b w:val="0"/>
                <w:bCs/>
                <w:sz w:val="28"/>
                <w:szCs w:val="28"/>
                <w:highlight w:val="none"/>
                <w:lang w:val="en-US" w:eastAsia="zh-CN"/>
              </w:rPr>
            </w:pPr>
            <w:bookmarkStart w:id="419" w:name="_Toc27020"/>
            <w:r>
              <w:rPr>
                <w:rFonts w:hint="eastAsia" w:ascii="仿宋_GB2312" w:hAnsi="仿宋_GB2312" w:cs="仿宋_GB2312"/>
                <w:b w:val="0"/>
                <w:bCs/>
                <w:sz w:val="28"/>
                <w:szCs w:val="28"/>
                <w:highlight w:val="none"/>
                <w:lang w:val="en-US" w:eastAsia="zh-CN"/>
              </w:rPr>
              <w:t>目标：重点补齐老旧小区和无物业小区服务短板，逐步推动物业服务由“有没有”向“好不好”转变。</w:t>
            </w:r>
            <w:bookmarkEnd w:id="419"/>
          </w:p>
          <w:p w14:paraId="795ED561">
            <w:pPr>
              <w:outlineLvl w:val="9"/>
              <w:rPr>
                <w:rFonts w:hint="eastAsia" w:ascii="仿宋_GB2312" w:hAnsi="仿宋_GB2312" w:cs="仿宋_GB2312"/>
                <w:b w:val="0"/>
                <w:bCs/>
                <w:sz w:val="28"/>
                <w:szCs w:val="28"/>
                <w:highlight w:val="none"/>
                <w:lang w:val="en-US" w:eastAsia="zh-CN"/>
              </w:rPr>
            </w:pPr>
            <w:bookmarkStart w:id="420" w:name="_Toc2965"/>
            <w:r>
              <w:rPr>
                <w:rFonts w:hint="eastAsia" w:ascii="仿宋_GB2312" w:hAnsi="仿宋_GB2312" w:cs="仿宋_GB2312"/>
                <w:b w:val="0"/>
                <w:bCs/>
                <w:sz w:val="28"/>
                <w:szCs w:val="28"/>
                <w:highlight w:val="none"/>
                <w:lang w:val="en-US" w:eastAsia="zh-CN"/>
              </w:rPr>
              <w:t>措施：</w:t>
            </w:r>
            <w:bookmarkEnd w:id="420"/>
          </w:p>
          <w:p w14:paraId="113B90DD">
            <w:pPr>
              <w:outlineLvl w:val="9"/>
              <w:rPr>
                <w:rFonts w:hint="eastAsia" w:ascii="仿宋_GB2312" w:hAnsi="仿宋_GB2312" w:cs="仿宋_GB2312"/>
                <w:b w:val="0"/>
                <w:bCs/>
                <w:sz w:val="28"/>
                <w:szCs w:val="28"/>
                <w:highlight w:val="none"/>
                <w:lang w:eastAsia="zh-CN"/>
              </w:rPr>
            </w:pPr>
            <w:bookmarkStart w:id="421" w:name="_Toc18984"/>
            <w:r>
              <w:rPr>
                <w:rFonts w:hint="eastAsia" w:ascii="仿宋_GB2312" w:hAnsi="仿宋_GB2312" w:cs="仿宋_GB2312"/>
                <w:b/>
                <w:bCs w:val="0"/>
                <w:sz w:val="28"/>
                <w:szCs w:val="28"/>
                <w:highlight w:val="none"/>
                <w:lang w:val="en-US" w:eastAsia="zh-CN"/>
              </w:rPr>
              <w:t>1.</w:t>
            </w:r>
            <w:r>
              <w:rPr>
                <w:rFonts w:hint="eastAsia" w:ascii="仿宋_GB2312" w:hAnsi="仿宋_GB2312" w:cs="仿宋_GB2312"/>
                <w:b/>
                <w:bCs w:val="0"/>
                <w:sz w:val="28"/>
                <w:szCs w:val="28"/>
                <w:highlight w:val="none"/>
              </w:rPr>
              <w:t>探索“信托制”物业管理模式。</w:t>
            </w:r>
            <w:r>
              <w:rPr>
                <w:rFonts w:hint="eastAsia" w:ascii="仿宋_GB2312" w:hAnsi="仿宋_GB2312" w:cs="仿宋_GB2312"/>
                <w:b w:val="0"/>
                <w:bCs/>
                <w:sz w:val="28"/>
                <w:szCs w:val="28"/>
                <w:highlight w:val="none"/>
              </w:rPr>
              <w:t>依托社区集体经济组织，搭建“信托制”物业运营平台，明确业主（委托人）、社区集体经济组织（受托人）、物业企业（服务方）三方权利义务，将小区公共收益、物业费等纳入信托管理，实行专户存储、专款专用、全程公开。强化社区集体经济组织的统筹协调作用，引导业主主动参与小区治理，推动物业企业聚焦服务本质，实现“信托管账、专业服务、居民监督”的良性循环，提升物业服务公信力和居民参与度</w:t>
            </w:r>
            <w:r>
              <w:rPr>
                <w:rFonts w:hint="eastAsia" w:ascii="仿宋_GB2312" w:hAnsi="仿宋_GB2312" w:cs="仿宋_GB2312"/>
                <w:b w:val="0"/>
                <w:bCs/>
                <w:sz w:val="28"/>
                <w:szCs w:val="28"/>
                <w:highlight w:val="none"/>
                <w:lang w:eastAsia="zh-CN"/>
              </w:rPr>
              <w:t>。</w:t>
            </w:r>
            <w:bookmarkEnd w:id="421"/>
          </w:p>
          <w:p w14:paraId="4C2052F7">
            <w:pPr>
              <w:outlineLvl w:val="9"/>
              <w:rPr>
                <w:rFonts w:hint="eastAsia" w:ascii="仿宋_GB2312" w:hAnsi="仿宋_GB2312" w:cs="仿宋_GB2312"/>
                <w:b w:val="0"/>
                <w:bCs/>
                <w:sz w:val="28"/>
                <w:szCs w:val="28"/>
                <w:highlight w:val="none"/>
              </w:rPr>
            </w:pPr>
            <w:bookmarkStart w:id="422" w:name="_Toc3394"/>
            <w:r>
              <w:rPr>
                <w:rFonts w:hint="eastAsia" w:ascii="仿宋_GB2312" w:hAnsi="仿宋_GB2312" w:cs="仿宋_GB2312"/>
                <w:b/>
                <w:bCs/>
                <w:sz w:val="28"/>
                <w:szCs w:val="28"/>
                <w:highlight w:val="none"/>
                <w:lang w:val="en-US" w:eastAsia="zh-CN"/>
              </w:rPr>
              <w:t>2.</w:t>
            </w:r>
            <w:r>
              <w:rPr>
                <w:rFonts w:hint="eastAsia" w:ascii="仿宋_GB2312" w:hAnsi="仿宋_GB2312" w:cs="仿宋_GB2312"/>
                <w:b/>
                <w:bCs/>
                <w:sz w:val="28"/>
                <w:szCs w:val="28"/>
                <w:highlight w:val="none"/>
              </w:rPr>
              <w:t>推进服务标准与适老化服务升级。</w:t>
            </w:r>
            <w:r>
              <w:rPr>
                <w:rFonts w:hint="eastAsia" w:ascii="仿宋_GB2312" w:hAnsi="仿宋_GB2312" w:cs="仿宋_GB2312"/>
                <w:b w:val="0"/>
                <w:bCs/>
                <w:sz w:val="28"/>
                <w:szCs w:val="28"/>
                <w:highlight w:val="none"/>
              </w:rPr>
              <w:t>以中心城区老旧小区为重点，先行开展物业服务规范化试点，逐步向县城和重点镇延伸；依托社区党组织和街道（乡镇）治理体系，完善居委会、业主委员会与物业企业协同机制，加强日常监督与协商共治；制定简明可操作的服务质量指引，优先提升基础服务，同时结合老龄化特点逐步引入便民维修、助餐助洁、社区养老等延伸服务。</w:t>
            </w:r>
            <w:bookmarkEnd w:id="422"/>
          </w:p>
          <w:p w14:paraId="28AD2EB3">
            <w:pPr>
              <w:bidi w:val="0"/>
              <w:rPr>
                <w:rFonts w:hint="default" w:eastAsia="仿宋_GB2312"/>
                <w:lang w:val="en-US" w:eastAsia="zh-CN"/>
              </w:rPr>
            </w:pPr>
            <w:r>
              <w:rPr>
                <w:rFonts w:hint="eastAsia" w:ascii="仿宋_GB2312" w:hAnsi="仿宋_GB2312" w:cs="仿宋_GB2312"/>
                <w:b/>
                <w:bCs w:val="0"/>
                <w:sz w:val="28"/>
                <w:szCs w:val="28"/>
                <w:highlight w:val="none"/>
                <w:lang w:val="en-US" w:eastAsia="zh-CN"/>
              </w:rPr>
              <w:t>3.</w:t>
            </w:r>
            <w:r>
              <w:rPr>
                <w:rFonts w:hint="eastAsia" w:ascii="仿宋_GB2312" w:hAnsi="仿宋_GB2312" w:cs="仿宋_GB2312"/>
                <w:b/>
                <w:bCs w:val="0"/>
                <w:sz w:val="28"/>
                <w:szCs w:val="28"/>
                <w:highlight w:val="none"/>
              </w:rPr>
              <w:t>规范小区物业服务标准。</w:t>
            </w:r>
            <w:r>
              <w:rPr>
                <w:rFonts w:hint="eastAsia" w:ascii="仿宋_GB2312" w:hAnsi="仿宋_GB2312" w:cs="仿宋_GB2312"/>
                <w:bCs/>
                <w:sz w:val="28"/>
                <w:szCs w:val="28"/>
                <w:highlight w:val="none"/>
              </w:rPr>
              <w:t>建立物业服务等级标准体系，指导督促辖区内小区物业服务企业对照服务等级标准，选择确定物业服务等级开展服务。开发建设单位应强化售后服务，在保修期内按相关规定承担小区的各项保修责任。</w:t>
            </w:r>
          </w:p>
          <w:p w14:paraId="75EFB799">
            <w:pPr>
              <w:bidi w:val="0"/>
              <w:rPr>
                <w:rFonts w:hint="default" w:eastAsia="仿宋_GB2312"/>
                <w:lang w:val="en-US" w:eastAsia="zh-CN"/>
              </w:rPr>
            </w:pPr>
            <w:r>
              <w:rPr>
                <w:rFonts w:hint="eastAsia" w:ascii="仿宋_GB2312" w:hAnsi="仿宋_GB2312" w:cs="仿宋_GB2312"/>
                <w:b/>
                <w:bCs w:val="0"/>
                <w:sz w:val="28"/>
                <w:szCs w:val="28"/>
                <w:highlight w:val="none"/>
                <w:lang w:val="en-US" w:eastAsia="zh-CN"/>
              </w:rPr>
              <w:t>4.</w:t>
            </w:r>
            <w:r>
              <w:rPr>
                <w:rFonts w:hint="eastAsia" w:ascii="仿宋_GB2312" w:hAnsi="仿宋_GB2312" w:cs="仿宋_GB2312"/>
                <w:b/>
                <w:bCs w:val="0"/>
                <w:sz w:val="28"/>
                <w:szCs w:val="28"/>
                <w:highlight w:val="none"/>
              </w:rPr>
              <w:t>智慧赋能，提升服务运行效率。</w:t>
            </w:r>
            <w:r>
              <w:rPr>
                <w:rFonts w:hint="eastAsia" w:ascii="仿宋_GB2312" w:hAnsi="仿宋_GB2312" w:cs="仿宋_GB2312"/>
                <w:b w:val="0"/>
                <w:bCs/>
                <w:sz w:val="28"/>
                <w:szCs w:val="28"/>
                <w:highlight w:val="none"/>
                <w:lang w:val="en-US" w:eastAsia="zh-CN"/>
              </w:rPr>
              <w:t>建立智慧物业平台，</w:t>
            </w:r>
            <w:r>
              <w:rPr>
                <w:rFonts w:hint="eastAsia" w:ascii="仿宋_GB2312" w:hAnsi="仿宋_GB2312" w:cs="仿宋_GB2312"/>
                <w:b w:val="0"/>
                <w:bCs/>
                <w:sz w:val="28"/>
                <w:szCs w:val="28"/>
                <w:highlight w:val="none"/>
              </w:rPr>
              <w:t>推广“智i宛城”小程序使用</w:t>
            </w:r>
            <w:r>
              <w:rPr>
                <w:rFonts w:hint="eastAsia" w:ascii="仿宋_GB2312" w:hAnsi="仿宋_GB2312" w:cs="仿宋_GB2312"/>
                <w:b w:val="0"/>
                <w:bCs/>
                <w:sz w:val="28"/>
                <w:szCs w:val="28"/>
                <w:highlight w:val="none"/>
                <w:lang w:val="en-US" w:eastAsia="zh-CN"/>
              </w:rPr>
              <w:t>。</w:t>
            </w:r>
            <w:r>
              <w:rPr>
                <w:rFonts w:hint="eastAsia" w:ascii="仿宋_GB2312" w:hAnsi="仿宋_GB2312" w:cs="仿宋_GB2312"/>
                <w:bCs/>
                <w:sz w:val="28"/>
                <w:szCs w:val="28"/>
                <w:highlight w:val="none"/>
              </w:rPr>
              <w:t>完善</w:t>
            </w:r>
            <w:r>
              <w:rPr>
                <w:rFonts w:hint="eastAsia" w:ascii="仿宋_GB2312" w:hAnsi="仿宋_GB2312" w:cs="仿宋_GB2312"/>
                <w:bCs/>
                <w:sz w:val="28"/>
                <w:szCs w:val="28"/>
                <w:highlight w:val="none"/>
                <w:lang w:val="en-US" w:eastAsia="zh-CN"/>
              </w:rPr>
              <w:t>小程序</w:t>
            </w:r>
            <w:r>
              <w:rPr>
                <w:rFonts w:hint="eastAsia" w:ascii="仿宋_GB2312" w:hAnsi="仿宋_GB2312" w:cs="仿宋_GB2312"/>
                <w:bCs/>
                <w:sz w:val="28"/>
                <w:szCs w:val="28"/>
                <w:highlight w:val="none"/>
              </w:rPr>
              <w:t>物业服务功能，整合线上报修、投诉反馈、物业费及水电燃气费缴纳、服务公示、邻里互动等核心场景，实现“一站式”便民服务。针对老年群体等存在的“数字鸿沟”，组织社区工作者、网格员化身“数字辅导员”，上门手把手指导老人注册、操作小程序，保障老年群体平等享受数字服务红利，让智慧服务更有温度。</w:t>
            </w:r>
          </w:p>
        </w:tc>
      </w:tr>
      <w:bookmarkEnd w:id="298"/>
    </w:tbl>
    <w:p w14:paraId="541BD684">
      <w:pPr>
        <w:pStyle w:val="4"/>
        <w:bidi w:val="0"/>
        <w:rPr>
          <w:rFonts w:hint="default"/>
          <w:highlight w:val="none"/>
          <w:lang w:val="en-US" w:eastAsia="zh-CN"/>
        </w:rPr>
      </w:pPr>
      <w:bookmarkStart w:id="423" w:name="_Toc4119"/>
      <w:bookmarkStart w:id="424" w:name="_Toc30611"/>
      <w:bookmarkStart w:id="425" w:name="_Toc14870"/>
      <w:bookmarkStart w:id="426" w:name="_Toc23538"/>
      <w:bookmarkStart w:id="427" w:name="_Toc3032"/>
      <w:bookmarkStart w:id="428" w:name="_Toc23288"/>
      <w:bookmarkStart w:id="429" w:name="_Toc10176"/>
      <w:bookmarkStart w:id="430" w:name="_Toc18015"/>
      <w:bookmarkStart w:id="431" w:name="_Toc14491"/>
      <w:bookmarkStart w:id="432" w:name="_Toc11896"/>
      <w:bookmarkStart w:id="433" w:name="_Toc10735"/>
      <w:bookmarkStart w:id="434" w:name="_Toc14307"/>
      <w:bookmarkStart w:id="435" w:name="_Toc30103"/>
      <w:bookmarkStart w:id="436" w:name="_Toc5716"/>
      <w:bookmarkStart w:id="437" w:name="_Toc2610"/>
      <w:bookmarkStart w:id="438" w:name="_Toc30583"/>
      <w:bookmarkStart w:id="439" w:name="_Toc22480"/>
      <w:bookmarkStart w:id="440" w:name="_Toc10594"/>
      <w:bookmarkStart w:id="441" w:name="_Toc139"/>
      <w:r>
        <w:rPr>
          <w:rFonts w:hint="eastAsia"/>
          <w:highlight w:val="none"/>
          <w:lang w:val="en-US" w:eastAsia="zh-CN"/>
        </w:rPr>
        <w:t>（五）有力推进老旧住区更新</w:t>
      </w:r>
      <w:bookmarkEnd w:id="423"/>
      <w:bookmarkEnd w:id="424"/>
      <w:bookmarkEnd w:id="425"/>
      <w:bookmarkEnd w:id="426"/>
      <w:bookmarkEnd w:id="427"/>
      <w:bookmarkEnd w:id="428"/>
      <w:bookmarkEnd w:id="429"/>
      <w:bookmarkEnd w:id="430"/>
      <w:r>
        <w:rPr>
          <w:rFonts w:hint="eastAsia"/>
          <w:highlight w:val="none"/>
          <w:lang w:val="en-US" w:eastAsia="zh-CN"/>
        </w:rPr>
        <w:t>改造</w:t>
      </w:r>
      <w:bookmarkEnd w:id="431"/>
      <w:bookmarkEnd w:id="432"/>
      <w:bookmarkEnd w:id="433"/>
      <w:bookmarkEnd w:id="434"/>
      <w:bookmarkEnd w:id="435"/>
      <w:bookmarkEnd w:id="436"/>
      <w:bookmarkEnd w:id="437"/>
      <w:bookmarkEnd w:id="438"/>
      <w:bookmarkEnd w:id="439"/>
      <w:bookmarkEnd w:id="440"/>
      <w:bookmarkEnd w:id="441"/>
    </w:p>
    <w:p w14:paraId="44784820">
      <w:pPr>
        <w:pStyle w:val="5"/>
        <w:bidi w:val="0"/>
        <w:rPr>
          <w:rFonts w:hint="eastAsia"/>
          <w:highlight w:val="none"/>
          <w:lang w:val="en-US" w:eastAsia="zh-CN"/>
        </w:rPr>
      </w:pPr>
      <w:bookmarkStart w:id="442" w:name="_Toc31339"/>
      <w:bookmarkStart w:id="443" w:name="_Toc26166"/>
      <w:bookmarkStart w:id="444" w:name="_Toc22015"/>
      <w:bookmarkStart w:id="445" w:name="_Toc10136"/>
      <w:bookmarkStart w:id="446" w:name="_Toc32310"/>
      <w:bookmarkStart w:id="447" w:name="_Toc29903"/>
      <w:r>
        <w:rPr>
          <w:rFonts w:hint="eastAsia"/>
          <w:highlight w:val="none"/>
          <w:lang w:val="en-US" w:eastAsia="zh-CN"/>
        </w:rPr>
        <w:t>1.分类实施危旧房改造。</w:t>
      </w:r>
      <w:bookmarkEnd w:id="442"/>
      <w:bookmarkEnd w:id="443"/>
      <w:bookmarkEnd w:id="444"/>
      <w:bookmarkEnd w:id="445"/>
      <w:bookmarkEnd w:id="446"/>
      <w:bookmarkEnd w:id="447"/>
    </w:p>
    <w:p w14:paraId="07253367">
      <w:pPr>
        <w:rPr>
          <w:rFonts w:hint="eastAsia"/>
          <w:highlight w:val="none"/>
          <w:lang w:val="en-US" w:eastAsia="zh-CN"/>
        </w:rPr>
      </w:pPr>
      <w:r>
        <w:rPr>
          <w:rFonts w:hint="eastAsia"/>
          <w:highlight w:val="none"/>
          <w:lang w:val="en-US" w:eastAsia="zh-CN"/>
        </w:rPr>
        <w:t>根据房屋危险等级分类施策，因地制宜采取拆除重建、改建（扩建、翻建）、抗震加固或功能置换等方式，对城市危旧房实施管理和改造。优先保障C、D级危房居民安全，同时完善居住功能、提升环境品质，实现“原地住新房”。坚持“留改拆”并举、以保留利用提升为主，严格控制拆除规模和拆建比，衔接老旧小区改造及城市更新整体规划，确保与城市发展定位同步。对核心区无拆迁计划、居民意愿强烈的住房优先推进原拆原建；对历史文化保护区及规划红线内住房严禁拆建，采取加固修缮；对可通过简单改造改善的住房不纳入原拆原建。将改造与小区后续管理相结合，同步完善物业服务、基础设施、消防安全及公共配套设施，兼顾城市肌理与历史记忆，实现“改造一个小区、完善一片区域、提升一方品质”。完善政策激励和资金支持机制，确保改造安全、质量可控、居民利益保障。完善政策激励和资金支持机制，确保改造安全、质量可控、居民利益保障。</w:t>
      </w:r>
    </w:p>
    <w:p w14:paraId="0C3977DD">
      <w:pPr>
        <w:pStyle w:val="5"/>
        <w:bidi w:val="0"/>
        <w:rPr>
          <w:rFonts w:hint="eastAsia"/>
          <w:highlight w:val="none"/>
          <w:lang w:val="en-US" w:eastAsia="zh-CN"/>
        </w:rPr>
      </w:pPr>
      <w:bookmarkStart w:id="448" w:name="_Toc19421"/>
      <w:bookmarkStart w:id="449" w:name="_Toc29231"/>
      <w:bookmarkStart w:id="450" w:name="_Toc27264"/>
      <w:bookmarkStart w:id="451" w:name="_Toc10657"/>
      <w:bookmarkStart w:id="452" w:name="_Toc466"/>
      <w:bookmarkStart w:id="453" w:name="_Toc6862"/>
      <w:r>
        <w:rPr>
          <w:rFonts w:hint="eastAsia"/>
          <w:highlight w:val="none"/>
          <w:lang w:val="en-US" w:eastAsia="zh-CN"/>
        </w:rPr>
        <w:t>2.加快实施老旧小区改造。</w:t>
      </w:r>
      <w:bookmarkEnd w:id="448"/>
      <w:bookmarkEnd w:id="449"/>
      <w:bookmarkEnd w:id="450"/>
      <w:bookmarkEnd w:id="451"/>
      <w:bookmarkEnd w:id="452"/>
      <w:bookmarkEnd w:id="453"/>
    </w:p>
    <w:p w14:paraId="4F62BCE8">
      <w:pPr>
        <w:rPr>
          <w:rFonts w:hint="eastAsia"/>
          <w:highlight w:val="none"/>
          <w:shd w:val="clear"/>
          <w:lang w:val="en-US" w:eastAsia="zh-CN"/>
        </w:rPr>
      </w:pPr>
      <w:r>
        <w:rPr>
          <w:rFonts w:hint="eastAsia"/>
          <w:highlight w:val="none"/>
          <w:lang w:val="en-US" w:eastAsia="zh-CN"/>
        </w:rPr>
        <w:t>深入推进老旧小区改造，统筹水、电、暖、燃气、管网、排水等基础设施升级，消除安全隐患。改善公共空间、绿化和停车条件。推广适老化和无障碍设计，积极争取既有建筑加装电梯补助资金，支持电梯加装，建立长效管理机制，提升社区环境和居民生活品质。创新改造模式，探索“政府主导+社区自治+市场化运作”的多元化推进路径，实现安全、便利、宜居的改造目标。</w:t>
      </w:r>
      <w:r>
        <w:rPr>
          <w:rFonts w:hint="eastAsia"/>
          <w:highlight w:val="none"/>
        </w:rPr>
        <w:t>同步推进危旧房改造和社区配套设施完善，补齐养老、托育及便民服务设施短板，促进存量资源有效盘活，推动住房品质提升与城市宜居环境改善协同发展。积极争取政策性资金，利用1</w:t>
      </w:r>
      <w:r>
        <w:rPr>
          <w:rFonts w:hint="eastAsia"/>
          <w:highlight w:val="none"/>
          <w:lang w:eastAsia="zh-CN"/>
        </w:rPr>
        <w:t>—</w:t>
      </w:r>
      <w:r>
        <w:rPr>
          <w:rFonts w:hint="eastAsia"/>
          <w:highlight w:val="none"/>
        </w:rPr>
        <w:t>2年完成2005年以前建成、基础设施不完善的131个老旧小区改造</w:t>
      </w:r>
      <w:r>
        <w:rPr>
          <w:rFonts w:hint="eastAsia"/>
          <w:highlight w:val="none"/>
          <w:lang w:eastAsia="zh-CN"/>
        </w:rPr>
        <w:t>。</w:t>
      </w:r>
    </w:p>
    <w:p w14:paraId="440B49E9">
      <w:pPr>
        <w:pStyle w:val="5"/>
        <w:bidi w:val="0"/>
        <w:rPr>
          <w:rFonts w:hint="eastAsia"/>
          <w:highlight w:val="none"/>
          <w:lang w:val="en-US" w:eastAsia="zh-CN"/>
        </w:rPr>
      </w:pPr>
      <w:bookmarkStart w:id="454" w:name="_Toc12927"/>
      <w:bookmarkStart w:id="455" w:name="_Toc6750"/>
      <w:bookmarkStart w:id="456" w:name="_Toc18181"/>
      <w:bookmarkStart w:id="457" w:name="_Toc19901"/>
      <w:bookmarkStart w:id="458" w:name="_Toc2510"/>
      <w:bookmarkStart w:id="459" w:name="_Toc23071"/>
      <w:r>
        <w:rPr>
          <w:rFonts w:hint="eastAsia"/>
          <w:highlight w:val="none"/>
          <w:lang w:val="en-US" w:eastAsia="zh-CN"/>
        </w:rPr>
        <w:t>3.稳步推进城中村改造。</w:t>
      </w:r>
      <w:bookmarkEnd w:id="454"/>
      <w:bookmarkEnd w:id="455"/>
      <w:bookmarkEnd w:id="456"/>
      <w:bookmarkEnd w:id="457"/>
      <w:bookmarkEnd w:id="458"/>
      <w:bookmarkEnd w:id="459"/>
    </w:p>
    <w:p w14:paraId="34C37596">
      <w:pPr>
        <w:bidi w:val="0"/>
        <w:ind w:firstLine="640"/>
        <w:rPr>
          <w:rFonts w:hint="eastAsia"/>
          <w:highlight w:val="none"/>
          <w:lang w:val="en-US" w:eastAsia="zh-CN"/>
        </w:rPr>
      </w:pPr>
      <w:r>
        <w:rPr>
          <w:rFonts w:hint="eastAsia"/>
          <w:highlight w:val="none"/>
          <w:lang w:val="en-US" w:eastAsia="zh-CN"/>
        </w:rPr>
        <w:t>因地制宜采取拆除重建、整治提升或拆整结合等多种改造模式，优化土地利用、居住密度和功能布局，完善道路、供水、排水、绿化及公共服务设施。优先推进群众改造意愿强烈、资金可平衡、征收补偿方案成熟的项目。市中心城区持续推进城市更新和城中村改造项目，结合完整社区建设，力争“十五五”末完成30%存量城中村改造。</w:t>
      </w:r>
    </w:p>
    <w:p w14:paraId="29BCE2C8">
      <w:pPr>
        <w:bidi w:val="0"/>
        <w:rPr>
          <w:rFonts w:hint="eastAsia"/>
          <w:highlight w:val="none"/>
          <w:lang w:val="en-US" w:eastAsia="zh-CN"/>
        </w:rPr>
      </w:pPr>
      <w:bookmarkStart w:id="460" w:name="_Toc29908"/>
      <w:bookmarkStart w:id="461" w:name="_Toc2935"/>
      <w:bookmarkStart w:id="462" w:name="_Toc17869"/>
      <w:bookmarkStart w:id="463" w:name="_Toc24525"/>
      <w:bookmarkStart w:id="464" w:name="_Toc9110"/>
      <w:bookmarkStart w:id="465" w:name="_Toc12123"/>
      <w:bookmarkStart w:id="466" w:name="_Toc21575"/>
      <w:bookmarkStart w:id="467" w:name="_Toc15221"/>
      <w:bookmarkStart w:id="468" w:name="_Toc1407"/>
      <w:bookmarkStart w:id="469" w:name="_Toc23573"/>
      <w:bookmarkStart w:id="470" w:name="_Toc27554"/>
      <w:bookmarkStart w:id="471" w:name="_Toc28285"/>
      <w:bookmarkStart w:id="472" w:name="_Toc18706"/>
      <w:bookmarkStart w:id="473" w:name="_Toc3188"/>
      <w:bookmarkStart w:id="474" w:name="_Toc23849"/>
      <w:r>
        <w:rPr>
          <w:rFonts w:hint="eastAsia"/>
          <w:highlight w:val="none"/>
          <w:lang w:val="en-US" w:eastAsia="zh-CN"/>
        </w:rPr>
        <w:br w:type="page"/>
      </w:r>
    </w:p>
    <w:p w14:paraId="42370A67">
      <w:pPr>
        <w:pStyle w:val="3"/>
        <w:bidi w:val="0"/>
        <w:rPr>
          <w:rFonts w:hint="default"/>
          <w:highlight w:val="none"/>
          <w:lang w:val="en-US" w:eastAsia="zh-CN"/>
        </w:rPr>
      </w:pPr>
      <w:bookmarkStart w:id="475" w:name="_Toc12200"/>
      <w:bookmarkStart w:id="476" w:name="_Toc8302"/>
      <w:bookmarkStart w:id="477" w:name="_Toc3012"/>
      <w:r>
        <w:rPr>
          <w:rFonts w:hint="eastAsia"/>
          <w:highlight w:val="none"/>
          <w:lang w:val="en-US" w:eastAsia="zh-CN"/>
        </w:rPr>
        <w:t>四、空间布局</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6137DFE">
      <w:pPr>
        <w:pStyle w:val="4"/>
        <w:rPr>
          <w:rFonts w:hint="default"/>
          <w:highlight w:val="none"/>
          <w:lang w:val="en-US" w:eastAsia="zh-CN"/>
        </w:rPr>
      </w:pPr>
      <w:bookmarkStart w:id="478" w:name="_Toc24291"/>
      <w:bookmarkStart w:id="479" w:name="_Toc12192"/>
      <w:bookmarkStart w:id="480" w:name="_Toc29533"/>
      <w:bookmarkStart w:id="481" w:name="_Toc10510"/>
      <w:bookmarkStart w:id="482" w:name="_Toc19377"/>
      <w:bookmarkStart w:id="483" w:name="_Toc23497"/>
      <w:bookmarkStart w:id="484" w:name="_Toc403"/>
      <w:bookmarkStart w:id="485" w:name="_Toc15230"/>
      <w:bookmarkStart w:id="486" w:name="_Toc23086"/>
      <w:bookmarkStart w:id="487" w:name="_Toc27588"/>
      <w:bookmarkStart w:id="488" w:name="_Toc13306"/>
      <w:bookmarkStart w:id="489" w:name="_Toc13070"/>
      <w:bookmarkStart w:id="490" w:name="_Toc11716"/>
      <w:bookmarkStart w:id="491" w:name="_Toc13089"/>
      <w:bookmarkStart w:id="492" w:name="_Toc5216"/>
      <w:bookmarkStart w:id="493" w:name="_Toc28759"/>
      <w:bookmarkStart w:id="494" w:name="_Toc30064"/>
      <w:bookmarkStart w:id="495" w:name="_Toc31421"/>
      <w:r>
        <w:rPr>
          <w:rFonts w:hint="eastAsia"/>
          <w:highlight w:val="none"/>
          <w:lang w:val="en-US" w:eastAsia="zh-CN"/>
        </w:rPr>
        <w:t>（一）</w:t>
      </w:r>
      <w:bookmarkEnd w:id="478"/>
      <w:bookmarkEnd w:id="479"/>
      <w:bookmarkEnd w:id="480"/>
      <w:r>
        <w:rPr>
          <w:rFonts w:hint="eastAsia"/>
          <w:highlight w:val="none"/>
          <w:lang w:val="en-US" w:eastAsia="zh-CN"/>
        </w:rPr>
        <w:t>市域住房空间布局总体策略</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BFF4C11">
      <w:pPr>
        <w:keepLines w:val="0"/>
        <w:widowControl/>
        <w:jc w:val="both"/>
        <w:rPr>
          <w:rFonts w:hint="eastAsia" w:ascii="仿宋_GB2312" w:hAnsi="宋体" w:cs="仿宋_GB2312"/>
          <w:color w:val="000000"/>
          <w:kern w:val="0"/>
          <w:sz w:val="31"/>
          <w:szCs w:val="31"/>
          <w:highlight w:val="none"/>
          <w:lang w:bidi="ar"/>
        </w:rPr>
      </w:pPr>
      <w:r>
        <w:rPr>
          <w:rFonts w:hint="eastAsia" w:ascii="仿宋_GB2312" w:hAnsi="宋体" w:cs="仿宋_GB2312"/>
          <w:color w:val="000000"/>
          <w:kern w:val="0"/>
          <w:sz w:val="31"/>
          <w:szCs w:val="31"/>
          <w:highlight w:val="none"/>
          <w:lang w:bidi="ar"/>
        </w:rPr>
        <w:t>围绕深入推进省域副中心城市建设和制造业高质量发展重大战略，立足南阳市区位条件、产业基础和人口规模，</w:t>
      </w:r>
      <w:r>
        <w:rPr>
          <w:rFonts w:hint="eastAsia" w:ascii="仿宋_GB2312" w:hAnsi="宋体" w:cs="仿宋_GB2312"/>
          <w:color w:val="000000"/>
          <w:kern w:val="0"/>
          <w:sz w:val="31"/>
          <w:szCs w:val="31"/>
          <w:highlight w:val="none"/>
          <w:lang w:eastAsia="zh-CN" w:bidi="ar"/>
        </w:rPr>
        <w:t>结合“一主两副、两圈两极、多点支撑”的区域发展格局</w:t>
      </w:r>
      <w:r>
        <w:rPr>
          <w:rFonts w:hint="eastAsia" w:ascii="仿宋_GB2312" w:hAnsi="宋体" w:cs="仿宋_GB2312"/>
          <w:color w:val="000000"/>
          <w:kern w:val="0"/>
          <w:sz w:val="31"/>
          <w:szCs w:val="31"/>
          <w:highlight w:val="none"/>
          <w:lang w:bidi="ar"/>
        </w:rPr>
        <w:t>，统筹住房发展与产业布局、综合交通和公共服务体系协同推进，构建结构合理、功能复合、供需匹配的市域住房发展体系，加快建设宜居宜业、开放包容的现代化区域中心城市。</w:t>
      </w:r>
    </w:p>
    <w:p w14:paraId="06C8AB2D">
      <w:pPr>
        <w:keepNext w:val="0"/>
        <w:keepLines w:val="0"/>
        <w:widowControl/>
        <w:suppressLineNumbers w:val="0"/>
        <w:jc w:val="both"/>
        <w:rPr>
          <w:rFonts w:hint="eastAsia" w:ascii="仿宋_GB2312" w:hAnsi="宋体" w:cs="仿宋_GB2312"/>
          <w:color w:val="000000"/>
          <w:kern w:val="0"/>
          <w:sz w:val="31"/>
          <w:szCs w:val="31"/>
          <w:highlight w:val="none"/>
          <w:lang w:bidi="ar"/>
        </w:rPr>
      </w:pPr>
      <w:r>
        <w:rPr>
          <w:rFonts w:hint="eastAsia" w:ascii="仿宋_GB2312" w:hAnsi="宋体" w:cs="仿宋_GB2312"/>
          <w:b/>
          <w:bCs/>
          <w:color w:val="000000"/>
          <w:kern w:val="0"/>
          <w:sz w:val="31"/>
          <w:szCs w:val="31"/>
          <w:highlight w:val="none"/>
          <w:lang w:val="en-US" w:eastAsia="zh-CN" w:bidi="ar"/>
        </w:rPr>
        <w:t>中心城区：</w:t>
      </w:r>
      <w:r>
        <w:rPr>
          <w:rFonts w:hint="eastAsia" w:ascii="仿宋_GB2312" w:hAnsi="宋体" w:cs="仿宋_GB2312"/>
          <w:color w:val="000000"/>
          <w:kern w:val="0"/>
          <w:sz w:val="31"/>
          <w:szCs w:val="31"/>
          <w:highlight w:val="none"/>
          <w:lang w:val="en-US" w:eastAsia="zh-CN" w:bidi="ar"/>
        </w:rPr>
        <w:t>按照</w:t>
      </w:r>
      <w:r>
        <w:rPr>
          <w:rFonts w:hint="eastAsia" w:ascii="仿宋_GB2312" w:hAnsi="宋体" w:cs="仿宋_GB2312"/>
          <w:color w:val="000000"/>
          <w:kern w:val="0"/>
          <w:sz w:val="31"/>
          <w:szCs w:val="31"/>
          <w:highlight w:val="none"/>
          <w:lang w:bidi="ar"/>
        </w:rPr>
        <w:t>“东进西连南聚北延”空间发展导向，优化住房空间结构与功能布局，提升集聚带动能力。</w:t>
      </w:r>
      <w:r>
        <w:rPr>
          <w:rFonts w:hint="eastAsia" w:ascii="仿宋_GB2312" w:hAnsi="宋体" w:cs="仿宋_GB2312"/>
          <w:color w:val="000000"/>
          <w:kern w:val="0"/>
          <w:sz w:val="31"/>
          <w:szCs w:val="31"/>
          <w:highlight w:val="none"/>
          <w:lang w:val="en-US" w:eastAsia="zh-CN" w:bidi="ar"/>
        </w:rPr>
        <w:t>向东</w:t>
      </w:r>
      <w:r>
        <w:rPr>
          <w:rFonts w:hint="eastAsia" w:ascii="仿宋_GB2312" w:hAnsi="宋体" w:cs="仿宋_GB2312"/>
          <w:color w:val="000000"/>
          <w:kern w:val="0"/>
          <w:sz w:val="31"/>
          <w:szCs w:val="31"/>
          <w:highlight w:val="none"/>
          <w:lang w:bidi="ar"/>
        </w:rPr>
        <w:t>聚焦健康养生、生态宜居、商务空港、高铁新城等功能组团，优先布局</w:t>
      </w:r>
      <w:r>
        <w:rPr>
          <w:rFonts w:hint="eastAsia" w:ascii="仿宋_GB2312" w:hAnsi="宋体" w:cs="仿宋_GB2312"/>
          <w:color w:val="000000"/>
          <w:kern w:val="0"/>
          <w:sz w:val="31"/>
          <w:szCs w:val="31"/>
          <w:highlight w:val="none"/>
          <w:lang w:val="en-US" w:eastAsia="zh-CN" w:bidi="ar"/>
        </w:rPr>
        <w:t>康养</w:t>
      </w:r>
      <w:r>
        <w:rPr>
          <w:rFonts w:hint="eastAsia" w:ascii="仿宋_GB2312" w:hAnsi="宋体" w:cs="仿宋_GB2312"/>
          <w:color w:val="000000"/>
          <w:kern w:val="0"/>
          <w:sz w:val="31"/>
          <w:szCs w:val="31"/>
          <w:highlight w:val="none"/>
          <w:lang w:bidi="ar"/>
        </w:rPr>
        <w:t>改善</w:t>
      </w:r>
      <w:r>
        <w:rPr>
          <w:rFonts w:hint="eastAsia" w:ascii="仿宋_GB2312" w:hAnsi="宋体" w:cs="仿宋_GB2312"/>
          <w:color w:val="000000"/>
          <w:kern w:val="0"/>
          <w:sz w:val="31"/>
          <w:szCs w:val="31"/>
          <w:highlight w:val="none"/>
          <w:lang w:val="en-US" w:eastAsia="zh-CN" w:bidi="ar"/>
        </w:rPr>
        <w:t>性</w:t>
      </w:r>
      <w:r>
        <w:rPr>
          <w:rFonts w:hint="eastAsia" w:ascii="仿宋_GB2312" w:hAnsi="宋体" w:cs="仿宋_GB2312"/>
          <w:color w:val="000000"/>
          <w:kern w:val="0"/>
          <w:sz w:val="31"/>
          <w:szCs w:val="31"/>
          <w:highlight w:val="none"/>
          <w:lang w:bidi="ar"/>
        </w:rPr>
        <w:t>商品住宅及人才公寓、租赁住房，完善公共服务配套，打造城区振兴增长极和人口集聚高地；</w:t>
      </w:r>
      <w:r>
        <w:rPr>
          <w:rFonts w:hint="eastAsia" w:ascii="仿宋_GB2312" w:hAnsi="宋体" w:cs="仿宋_GB2312"/>
          <w:color w:val="000000"/>
          <w:kern w:val="0"/>
          <w:sz w:val="31"/>
          <w:szCs w:val="31"/>
          <w:highlight w:val="none"/>
          <w:lang w:val="en-US" w:eastAsia="zh-CN" w:bidi="ar"/>
        </w:rPr>
        <w:t>向西</w:t>
      </w:r>
      <w:r>
        <w:rPr>
          <w:rFonts w:hint="eastAsia" w:ascii="仿宋_GB2312" w:hAnsi="宋体" w:cs="仿宋_GB2312"/>
          <w:color w:val="000000"/>
          <w:kern w:val="0"/>
          <w:sz w:val="31"/>
          <w:szCs w:val="31"/>
          <w:highlight w:val="none"/>
          <w:lang w:bidi="ar"/>
        </w:rPr>
        <w:t>依托卧龙先进制造业开发区、卧龙综合保税区优势，重点建设产业工人公寓、保障性租赁住房，结合“宛平一体化”推进与镇平住房协同；</w:t>
      </w:r>
      <w:r>
        <w:rPr>
          <w:rFonts w:hint="eastAsia" w:ascii="仿宋_GB2312" w:hAnsi="宋体" w:cs="仿宋_GB2312"/>
          <w:color w:val="000000"/>
          <w:kern w:val="0"/>
          <w:sz w:val="31"/>
          <w:szCs w:val="31"/>
          <w:highlight w:val="none"/>
          <w:lang w:val="en-US" w:eastAsia="zh-CN" w:bidi="ar"/>
        </w:rPr>
        <w:t>向南</w:t>
      </w:r>
      <w:r>
        <w:rPr>
          <w:rFonts w:hint="eastAsia" w:ascii="仿宋_GB2312" w:hAnsi="宋体" w:cs="仿宋_GB2312"/>
          <w:color w:val="000000"/>
          <w:kern w:val="0"/>
          <w:sz w:val="31"/>
          <w:szCs w:val="31"/>
          <w:highlight w:val="none"/>
          <w:lang w:bidi="ar"/>
        </w:rPr>
        <w:t>围绕南阳经济技术开发区、高新技术产业开发区等平台，统筹多元住房供给，</w:t>
      </w:r>
      <w:r>
        <w:rPr>
          <w:rFonts w:hint="eastAsia" w:ascii="仿宋_GB2312" w:hAnsi="宋体" w:cs="仿宋_GB2312"/>
          <w:color w:val="000000"/>
          <w:kern w:val="0"/>
          <w:sz w:val="31"/>
          <w:szCs w:val="31"/>
          <w:highlight w:val="none"/>
          <w:lang w:val="en-US" w:eastAsia="zh-CN" w:bidi="ar"/>
        </w:rPr>
        <w:t>重点布局保障性租赁住房，结合需求潜力适度布局改善性住宅，</w:t>
      </w:r>
      <w:r>
        <w:rPr>
          <w:rFonts w:hint="eastAsia" w:ascii="仿宋_GB2312" w:hAnsi="宋体" w:cs="仿宋_GB2312"/>
          <w:color w:val="000000"/>
          <w:kern w:val="0"/>
          <w:sz w:val="31"/>
          <w:szCs w:val="31"/>
          <w:highlight w:val="none"/>
          <w:lang w:bidi="ar"/>
        </w:rPr>
        <w:t>打造产城融合样板区；北延片区以现代水网建设和白河上游治理为牵引，发展生态康养、文旅宜居住房，配套职教园区住房需求，打造中心城区后花园。</w:t>
      </w:r>
    </w:p>
    <w:p w14:paraId="67D9BBAE">
      <w:pPr>
        <w:keepNext w:val="0"/>
        <w:keepLines w:val="0"/>
        <w:widowControl/>
        <w:suppressLineNumbers w:val="0"/>
        <w:jc w:val="both"/>
        <w:rPr>
          <w:rFonts w:hint="eastAsia" w:ascii="仿宋_GB2312" w:hAnsi="宋体" w:cs="仿宋_GB2312"/>
          <w:color w:val="000000"/>
          <w:kern w:val="0"/>
          <w:sz w:val="31"/>
          <w:szCs w:val="31"/>
          <w:highlight w:val="none"/>
          <w:lang w:val="en-US" w:eastAsia="zh-CN" w:bidi="ar"/>
        </w:rPr>
      </w:pPr>
      <w:r>
        <w:rPr>
          <w:rFonts w:hint="eastAsia" w:ascii="仿宋_GB2312" w:hAnsi="宋体" w:cs="仿宋_GB2312"/>
          <w:b/>
          <w:bCs/>
          <w:color w:val="000000"/>
          <w:kern w:val="0"/>
          <w:sz w:val="31"/>
          <w:szCs w:val="31"/>
          <w:highlight w:val="none"/>
          <w:lang w:bidi="ar"/>
        </w:rPr>
        <w:t>副中心发展片区：</w:t>
      </w:r>
      <w:r>
        <w:rPr>
          <w:rFonts w:hint="eastAsia" w:ascii="仿宋_GB2312" w:hAnsi="宋体" w:cs="仿宋_GB2312"/>
          <w:color w:val="000000"/>
          <w:kern w:val="0"/>
          <w:sz w:val="31"/>
          <w:szCs w:val="31"/>
          <w:highlight w:val="none"/>
          <w:lang w:bidi="ar"/>
        </w:rPr>
        <w:t>聚焦邓州市、方城县两大市域副中心，稳定住房供给规模和节奏，强化其作为市域人口和产业承载节点的功能定位。邓州围绕中心城区提质扩容，沿主要交通干线与产业片区梯度布局商品住房、保障性租赁住房及安置住房；方城严格控制外围零散开发，聚焦县城核心区优化存量、提升品质，在产业园区及重点廊道周边适度布局</w:t>
      </w:r>
      <w:r>
        <w:rPr>
          <w:rFonts w:hint="eastAsia" w:ascii="仿宋_GB2312" w:hAnsi="宋体" w:cs="仿宋_GB2312"/>
          <w:color w:val="000000"/>
          <w:kern w:val="0"/>
          <w:sz w:val="31"/>
          <w:szCs w:val="31"/>
          <w:highlight w:val="none"/>
          <w:lang w:val="en-US" w:eastAsia="zh-CN" w:bidi="ar"/>
        </w:rPr>
        <w:t>商品住房</w:t>
      </w:r>
      <w:r>
        <w:rPr>
          <w:rFonts w:hint="eastAsia" w:ascii="仿宋_GB2312" w:hAnsi="宋体" w:cs="仿宋_GB2312"/>
          <w:color w:val="000000"/>
          <w:kern w:val="0"/>
          <w:sz w:val="31"/>
          <w:szCs w:val="31"/>
          <w:highlight w:val="none"/>
          <w:lang w:bidi="ar"/>
        </w:rPr>
        <w:t>与</w:t>
      </w:r>
      <w:r>
        <w:rPr>
          <w:rFonts w:hint="eastAsia" w:ascii="仿宋_GB2312" w:hAnsi="宋体" w:cs="仿宋_GB2312"/>
          <w:color w:val="000000"/>
          <w:kern w:val="0"/>
          <w:sz w:val="31"/>
          <w:szCs w:val="31"/>
          <w:highlight w:val="none"/>
          <w:lang w:val="en-US" w:eastAsia="zh-CN" w:bidi="ar"/>
        </w:rPr>
        <w:t>保障性</w:t>
      </w:r>
      <w:r>
        <w:rPr>
          <w:rFonts w:hint="eastAsia" w:ascii="仿宋_GB2312" w:hAnsi="宋体" w:cs="仿宋_GB2312"/>
          <w:color w:val="000000"/>
          <w:kern w:val="0"/>
          <w:sz w:val="31"/>
          <w:szCs w:val="31"/>
          <w:highlight w:val="none"/>
          <w:lang w:bidi="ar"/>
        </w:rPr>
        <w:t>住房，引导人口向</w:t>
      </w:r>
      <w:r>
        <w:rPr>
          <w:rFonts w:hint="eastAsia" w:ascii="仿宋_GB2312" w:hAnsi="宋体" w:cs="仿宋_GB2312"/>
          <w:color w:val="000000"/>
          <w:kern w:val="0"/>
          <w:sz w:val="31"/>
          <w:szCs w:val="31"/>
          <w:highlight w:val="none"/>
          <w:lang w:val="en-US" w:eastAsia="zh-CN" w:bidi="ar"/>
        </w:rPr>
        <w:t>县城</w:t>
      </w:r>
      <w:r>
        <w:rPr>
          <w:rFonts w:hint="eastAsia" w:ascii="仿宋_GB2312" w:hAnsi="宋体" w:cs="仿宋_GB2312"/>
          <w:color w:val="000000"/>
          <w:kern w:val="0"/>
          <w:sz w:val="31"/>
          <w:szCs w:val="31"/>
          <w:highlight w:val="none"/>
          <w:lang w:bidi="ar"/>
        </w:rPr>
        <w:t>集中。</w:t>
      </w:r>
    </w:p>
    <w:p w14:paraId="7FB72D42">
      <w:pPr>
        <w:ind w:firstLine="622" w:firstLineChars="200"/>
        <w:outlineLvl w:val="9"/>
        <w:rPr>
          <w:rFonts w:hint="eastAsia" w:ascii="仿宋_GB2312" w:hAnsi="宋体" w:cs="仿宋_GB2312"/>
          <w:color w:val="000000"/>
          <w:kern w:val="0"/>
          <w:sz w:val="31"/>
          <w:szCs w:val="31"/>
          <w:highlight w:val="none"/>
          <w:lang w:eastAsia="zh-CN" w:bidi="ar"/>
        </w:rPr>
      </w:pPr>
      <w:r>
        <w:rPr>
          <w:rFonts w:hint="eastAsia" w:ascii="仿宋_GB2312" w:hAnsi="宋体" w:cs="仿宋_GB2312"/>
          <w:b/>
          <w:bCs/>
          <w:color w:val="000000"/>
          <w:kern w:val="0"/>
          <w:sz w:val="31"/>
          <w:szCs w:val="31"/>
          <w:highlight w:val="none"/>
          <w:lang w:val="en-US" w:eastAsia="zh-CN" w:bidi="ar"/>
        </w:rPr>
        <w:t>协同</w:t>
      </w:r>
      <w:r>
        <w:rPr>
          <w:rFonts w:hint="eastAsia" w:ascii="仿宋_GB2312" w:hAnsi="宋体" w:cs="仿宋_GB2312"/>
          <w:b/>
          <w:bCs/>
          <w:color w:val="000000"/>
          <w:kern w:val="0"/>
          <w:sz w:val="31"/>
          <w:szCs w:val="31"/>
          <w:highlight w:val="none"/>
          <w:lang w:bidi="ar"/>
        </w:rPr>
        <w:t>发展</w:t>
      </w:r>
      <w:r>
        <w:rPr>
          <w:rFonts w:hint="eastAsia" w:ascii="仿宋_GB2312" w:hAnsi="宋体" w:cs="仿宋_GB2312"/>
          <w:b/>
          <w:bCs/>
          <w:color w:val="000000"/>
          <w:kern w:val="0"/>
          <w:sz w:val="31"/>
          <w:szCs w:val="31"/>
          <w:highlight w:val="none"/>
          <w:lang w:val="en-US" w:eastAsia="zh-CN" w:bidi="ar"/>
        </w:rPr>
        <w:t>区</w:t>
      </w:r>
      <w:r>
        <w:rPr>
          <w:rFonts w:hint="eastAsia" w:ascii="仿宋_GB2312" w:hAnsi="宋体" w:cs="仿宋_GB2312"/>
          <w:b/>
          <w:bCs/>
          <w:color w:val="000000"/>
          <w:kern w:val="0"/>
          <w:sz w:val="31"/>
          <w:szCs w:val="31"/>
          <w:highlight w:val="none"/>
          <w:lang w:eastAsia="zh-CN" w:bidi="ar"/>
        </w:rPr>
        <w:t>：</w:t>
      </w:r>
      <w:r>
        <w:rPr>
          <w:rFonts w:hint="eastAsia" w:ascii="仿宋_GB2312" w:hAnsi="宋体" w:cs="仿宋_GB2312"/>
          <w:color w:val="000000"/>
          <w:kern w:val="0"/>
          <w:sz w:val="31"/>
          <w:szCs w:val="31"/>
          <w:highlight w:val="none"/>
          <w:lang w:bidi="ar"/>
        </w:rPr>
        <w:t>涵盖镇平县、社旗县、唐河县，依托G312国道</w:t>
      </w:r>
      <w:r>
        <w:rPr>
          <w:rFonts w:hint="eastAsia" w:ascii="仿宋_GB2312" w:hAnsi="宋体" w:cs="仿宋_GB2312"/>
          <w:color w:val="000000"/>
          <w:kern w:val="0"/>
          <w:sz w:val="31"/>
          <w:szCs w:val="31"/>
          <w:highlight w:val="none"/>
          <w:lang w:eastAsia="zh-CN" w:bidi="ar"/>
        </w:rPr>
        <w:t>、</w:t>
      </w:r>
      <w:r>
        <w:rPr>
          <w:rFonts w:hint="eastAsia" w:ascii="仿宋_GB2312" w:hAnsi="宋体" w:cs="仿宋_GB2312"/>
          <w:color w:val="000000"/>
          <w:kern w:val="0"/>
          <w:sz w:val="31"/>
          <w:szCs w:val="31"/>
          <w:highlight w:val="none"/>
          <w:lang w:bidi="ar"/>
        </w:rPr>
        <w:t>沪陕高速</w:t>
      </w:r>
      <w:r>
        <w:rPr>
          <w:rFonts w:hint="eastAsia" w:ascii="仿宋_GB2312" w:hAnsi="宋体" w:cs="仿宋_GB2312"/>
          <w:color w:val="000000"/>
          <w:kern w:val="0"/>
          <w:sz w:val="31"/>
          <w:szCs w:val="31"/>
          <w:highlight w:val="none"/>
          <w:lang w:eastAsia="zh-CN" w:bidi="ar"/>
        </w:rPr>
        <w:t>、</w:t>
      </w:r>
      <w:r>
        <w:rPr>
          <w:rFonts w:hint="eastAsia" w:ascii="仿宋_GB2312" w:hAnsi="宋体" w:cs="仿宋_GB2312"/>
          <w:color w:val="000000"/>
          <w:kern w:val="0"/>
          <w:sz w:val="31"/>
          <w:szCs w:val="31"/>
          <w:highlight w:val="none"/>
          <w:lang w:bidi="ar"/>
        </w:rPr>
        <w:t>S330省道等重点快速交通干线，布局通勤型、产业配套型住房，推动与中心城区住房</w:t>
      </w:r>
      <w:r>
        <w:rPr>
          <w:rFonts w:hint="eastAsia" w:ascii="仿宋_GB2312" w:hAnsi="宋体" w:cs="仿宋_GB2312"/>
          <w:color w:val="000000"/>
          <w:kern w:val="0"/>
          <w:sz w:val="31"/>
          <w:szCs w:val="31"/>
          <w:highlight w:val="none"/>
          <w:lang w:val="en-US" w:eastAsia="zh-CN" w:bidi="ar"/>
        </w:rPr>
        <w:t>协同发展</w:t>
      </w:r>
      <w:r>
        <w:rPr>
          <w:rFonts w:hint="eastAsia" w:ascii="仿宋_GB2312" w:hAnsi="宋体" w:cs="仿宋_GB2312"/>
          <w:color w:val="000000"/>
          <w:kern w:val="0"/>
          <w:sz w:val="31"/>
          <w:szCs w:val="31"/>
          <w:highlight w:val="none"/>
          <w:lang w:bidi="ar"/>
        </w:rPr>
        <w:t>、配套共享，承接中心城区居住外溢需求，强化与中心城区产业协作，实现住房供需互通、服务均等化。</w:t>
      </w:r>
    </w:p>
    <w:p w14:paraId="4DC65CF8">
      <w:pPr>
        <w:outlineLvl w:val="9"/>
        <w:rPr>
          <w:rFonts w:hint="eastAsia" w:ascii="仿宋_GB2312" w:hAnsi="宋体" w:cs="仿宋_GB2312"/>
          <w:color w:val="000000"/>
          <w:kern w:val="0"/>
          <w:sz w:val="31"/>
          <w:szCs w:val="31"/>
          <w:highlight w:val="none"/>
          <w:lang w:eastAsia="zh-CN" w:bidi="ar"/>
        </w:rPr>
      </w:pPr>
      <w:r>
        <w:rPr>
          <w:rFonts w:hint="eastAsia" w:ascii="仿宋_GB2312" w:hAnsi="宋体" w:cs="仿宋_GB2312"/>
          <w:b/>
          <w:bCs/>
          <w:color w:val="000000"/>
          <w:kern w:val="0"/>
          <w:sz w:val="31"/>
          <w:szCs w:val="31"/>
          <w:highlight w:val="none"/>
          <w:lang w:bidi="ar"/>
        </w:rPr>
        <w:t>紧密协作</w:t>
      </w:r>
      <w:r>
        <w:rPr>
          <w:rFonts w:hint="eastAsia" w:ascii="仿宋_GB2312" w:hAnsi="宋体" w:cs="仿宋_GB2312"/>
          <w:b/>
          <w:bCs/>
          <w:color w:val="000000"/>
          <w:kern w:val="0"/>
          <w:sz w:val="31"/>
          <w:szCs w:val="31"/>
          <w:highlight w:val="none"/>
          <w:lang w:val="en-US" w:eastAsia="zh-CN" w:bidi="ar"/>
        </w:rPr>
        <w:t>区</w:t>
      </w:r>
      <w:r>
        <w:rPr>
          <w:rFonts w:hint="eastAsia" w:ascii="仿宋_GB2312" w:hAnsi="宋体" w:cs="仿宋_GB2312"/>
          <w:b/>
          <w:bCs/>
          <w:color w:val="000000"/>
          <w:kern w:val="0"/>
          <w:sz w:val="31"/>
          <w:szCs w:val="31"/>
          <w:highlight w:val="none"/>
          <w:lang w:eastAsia="zh-CN" w:bidi="ar"/>
        </w:rPr>
        <w:t>：</w:t>
      </w:r>
      <w:r>
        <w:rPr>
          <w:rFonts w:hint="eastAsia" w:ascii="仿宋_GB2312" w:hAnsi="宋体" w:cs="仿宋_GB2312"/>
          <w:color w:val="000000"/>
          <w:kern w:val="0"/>
          <w:sz w:val="31"/>
          <w:szCs w:val="31"/>
          <w:highlight w:val="none"/>
          <w:lang w:bidi="ar"/>
        </w:rPr>
        <w:t>涵盖南召县、内乡县、新野县，强化与中心城区的功能互补、产业协作，稳定县城住房供应规模。重点发展特色产业配套住房和生态宜居住房，完善县域交通设施和公共服务体系。</w:t>
      </w:r>
    </w:p>
    <w:p w14:paraId="00FB227B">
      <w:pPr>
        <w:outlineLvl w:val="9"/>
        <w:rPr>
          <w:rFonts w:hint="eastAsia" w:ascii="仿宋_GB2312" w:hAnsi="宋体" w:cs="仿宋_GB2312"/>
          <w:color w:val="000000"/>
          <w:kern w:val="0"/>
          <w:sz w:val="31"/>
          <w:szCs w:val="31"/>
          <w:highlight w:val="none"/>
          <w:lang w:val="en-US" w:eastAsia="zh-CN" w:bidi="ar"/>
        </w:rPr>
      </w:pPr>
      <w:r>
        <w:rPr>
          <w:rFonts w:hint="eastAsia" w:ascii="仿宋_GB2312" w:hAnsi="宋体" w:cs="仿宋_GB2312"/>
          <w:b/>
          <w:bCs/>
          <w:color w:val="000000"/>
          <w:kern w:val="0"/>
          <w:sz w:val="31"/>
          <w:szCs w:val="31"/>
          <w:highlight w:val="none"/>
          <w:lang w:bidi="ar"/>
        </w:rPr>
        <w:t>生态绿色发展区</w:t>
      </w:r>
      <w:r>
        <w:rPr>
          <w:rFonts w:hint="eastAsia" w:ascii="仿宋_GB2312" w:hAnsi="宋体" w:cs="仿宋_GB2312"/>
          <w:b/>
          <w:bCs/>
          <w:color w:val="000000"/>
          <w:kern w:val="0"/>
          <w:sz w:val="31"/>
          <w:szCs w:val="31"/>
          <w:highlight w:val="none"/>
          <w:lang w:eastAsia="zh-CN" w:bidi="ar"/>
        </w:rPr>
        <w:t>：</w:t>
      </w:r>
      <w:r>
        <w:rPr>
          <w:rFonts w:hint="eastAsia" w:ascii="仿宋_GB2312" w:hAnsi="宋体" w:cs="仿宋_GB2312"/>
          <w:color w:val="000000"/>
          <w:kern w:val="0"/>
          <w:sz w:val="31"/>
          <w:szCs w:val="31"/>
          <w:highlight w:val="none"/>
          <w:lang w:bidi="ar"/>
        </w:rPr>
        <w:t>西峡—淅川、桐柏两大绿色发展增长极，坚持生态优先、适度开发。重点发展康养、文旅类特色住房，以微更新、微改造方式提升现有居住环境和风貌品质，严控大规模无序开发，盘活闲置住房资源，提升重要生态产品供给能力，打造生态宜居特色居住板块，实现住房发展与生态保护深度融合。</w:t>
      </w:r>
    </w:p>
    <w:p w14:paraId="2AB9C614">
      <w:pPr>
        <w:pStyle w:val="4"/>
        <w:bidi w:val="0"/>
        <w:rPr>
          <w:rFonts w:hint="eastAsia"/>
          <w:highlight w:val="none"/>
          <w:lang w:val="en-US" w:eastAsia="zh-CN"/>
        </w:rPr>
      </w:pPr>
      <w:bookmarkStart w:id="496" w:name="_Toc30060"/>
      <w:bookmarkStart w:id="497" w:name="_Toc5695"/>
      <w:bookmarkStart w:id="498" w:name="_Toc6315"/>
      <w:bookmarkStart w:id="499" w:name="_Toc698"/>
      <w:bookmarkStart w:id="500" w:name="_Toc11795"/>
      <w:bookmarkStart w:id="501" w:name="_Toc16092"/>
      <w:bookmarkStart w:id="502" w:name="_Toc25015"/>
      <w:bookmarkStart w:id="503" w:name="_Toc16260"/>
      <w:bookmarkStart w:id="504" w:name="_Toc15488"/>
      <w:bookmarkStart w:id="505" w:name="_Toc29581"/>
      <w:bookmarkStart w:id="506" w:name="_Toc15189"/>
      <w:bookmarkStart w:id="507" w:name="_Toc31915"/>
      <w:bookmarkStart w:id="508" w:name="_Toc2936"/>
      <w:bookmarkStart w:id="509" w:name="_Toc17915"/>
      <w:bookmarkStart w:id="510" w:name="_Toc8617"/>
      <w:bookmarkStart w:id="511" w:name="_Toc23833"/>
      <w:bookmarkStart w:id="512" w:name="_Toc2389"/>
      <w:r>
        <w:rPr>
          <w:rFonts w:hint="eastAsia"/>
          <w:highlight w:val="none"/>
          <w:lang w:val="en-US" w:eastAsia="zh-CN"/>
        </w:rPr>
        <w:t>（二</w:t>
      </w:r>
      <w:bookmarkStart w:id="513" w:name="_Toc28985"/>
      <w:r>
        <w:rPr>
          <w:rFonts w:hint="eastAsia"/>
          <w:highlight w:val="none"/>
          <w:lang w:val="en-US" w:eastAsia="zh-CN"/>
        </w:rPr>
        <w:t>）中心城区住房发展指引</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8AE56B6">
      <w:pPr>
        <w:pStyle w:val="5"/>
        <w:rPr>
          <w:rFonts w:hint="eastAsia"/>
          <w:highlight w:val="none"/>
          <w:lang w:val="en-US" w:eastAsia="zh-CN"/>
        </w:rPr>
      </w:pPr>
      <w:bookmarkStart w:id="514" w:name="_Toc31273"/>
      <w:bookmarkStart w:id="515" w:name="_Toc5904"/>
      <w:bookmarkStart w:id="516" w:name="_Toc21443"/>
      <w:bookmarkStart w:id="517" w:name="_Toc8292"/>
      <w:bookmarkStart w:id="518" w:name="_Toc31122"/>
      <w:bookmarkStart w:id="519" w:name="_Toc27460"/>
      <w:r>
        <w:rPr>
          <w:rFonts w:hint="eastAsia"/>
          <w:highlight w:val="none"/>
          <w:lang w:val="en-US" w:eastAsia="zh-CN"/>
        </w:rPr>
        <w:t>1.商品住房空间布局策略</w:t>
      </w:r>
      <w:bookmarkEnd w:id="514"/>
      <w:bookmarkEnd w:id="515"/>
      <w:bookmarkEnd w:id="516"/>
      <w:bookmarkEnd w:id="517"/>
      <w:bookmarkEnd w:id="518"/>
      <w:bookmarkEnd w:id="519"/>
    </w:p>
    <w:p w14:paraId="79B7A06C">
      <w:pPr>
        <w:ind w:firstLine="643" w:firstLineChars="200"/>
        <w:jc w:val="both"/>
        <w:rPr>
          <w:rFonts w:hint="default"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发展目标：</w:t>
      </w:r>
      <w:r>
        <w:rPr>
          <w:rFonts w:hint="eastAsia" w:ascii="Times New Roman" w:hAnsi="Times New Roman"/>
          <w:b w:val="0"/>
          <w:bCs w:val="0"/>
          <w:color w:val="auto"/>
          <w:highlight w:val="none"/>
          <w:lang w:val="en-US" w:eastAsia="zh-CN"/>
        </w:rPr>
        <w:t>“十五五”期间，中心城区新建</w:t>
      </w:r>
      <w:r>
        <w:rPr>
          <w:rFonts w:hint="eastAsia"/>
          <w:b w:val="0"/>
          <w:bCs w:val="0"/>
          <w:color w:val="auto"/>
          <w:highlight w:val="none"/>
          <w:lang w:val="en-US" w:eastAsia="zh-CN"/>
        </w:rPr>
        <w:t>商品住房</w:t>
      </w:r>
      <w:r>
        <w:rPr>
          <w:rFonts w:hint="eastAsia" w:ascii="Times New Roman" w:hAnsi="Times New Roman"/>
          <w:b w:val="0"/>
          <w:bCs w:val="0"/>
          <w:color w:val="auto"/>
          <w:highlight w:val="none"/>
          <w:lang w:val="en-US" w:eastAsia="zh-CN"/>
        </w:rPr>
        <w:t>规划新增供应54000套。</w:t>
      </w:r>
    </w:p>
    <w:p w14:paraId="28A0A90C">
      <w:pPr>
        <w:ind w:firstLine="643" w:firstLineChars="200"/>
        <w:rPr>
          <w:rFonts w:hint="eastAsia" w:ascii="Times New Roman" w:hAnsi="Times New Roman"/>
          <w:bCs/>
          <w:color w:val="auto"/>
          <w:highlight w:val="none"/>
        </w:rPr>
      </w:pPr>
      <w:r>
        <w:rPr>
          <w:rFonts w:hint="eastAsia"/>
          <w:b/>
          <w:bCs/>
          <w:highlight w:val="none"/>
          <w:lang w:val="en-US" w:eastAsia="zh-CN"/>
        </w:rPr>
        <w:t>发展策略：</w:t>
      </w:r>
      <w:r>
        <w:rPr>
          <w:rFonts w:hint="eastAsia"/>
          <w:highlight w:val="none"/>
          <w:lang w:val="en-US" w:eastAsia="zh-CN"/>
        </w:rPr>
        <w:t>中心城区以改善性商品住房为主，老城区严格控制新增商品住房规模，通过城市更新和老旧小区周边功能提升，引导商品住房向品质化、复合化发展；在东部新城、白河南片区等重点发展片区，结合公共中心建设和功能完善，适度增加商品住房供给，重点发展中高品质商品住房和复合型居住社区，承接老城区人口疏解和改善性住房需求。在生态资源优势明显的鸭河职教园区、邓西湖等区域，严格控制开发强度和建筑高度，适度发展生态型、康养型和旅居型商品住房，鼓励发展度假住宅、康养社区和特色民宿，推动住房与文旅康养产业融合发展。在官庄工区、先进制造业开发区等产业集聚区，商品住房以配套型和功能型为主，重点满足产业人才和稳定就业人群的居住需求，避免高端商品住房无序扩张，强化职住平衡。</w:t>
      </w:r>
      <w:r>
        <w:rPr>
          <w:rFonts w:hint="eastAsia" w:ascii="Times New Roman" w:hAnsi="Times New Roman"/>
          <w:bCs/>
          <w:color w:val="auto"/>
          <w:highlight w:val="none"/>
        </w:rPr>
        <w:t>新建</w:t>
      </w:r>
      <w:r>
        <w:rPr>
          <w:rFonts w:hint="eastAsia"/>
          <w:bCs/>
          <w:color w:val="auto"/>
          <w:highlight w:val="none"/>
          <w:lang w:eastAsia="zh-CN"/>
        </w:rPr>
        <w:t>商品住宅</w:t>
      </w:r>
      <w:r>
        <w:rPr>
          <w:rFonts w:hint="eastAsia" w:ascii="Times New Roman" w:hAnsi="Times New Roman"/>
          <w:bCs/>
          <w:color w:val="auto"/>
          <w:highlight w:val="none"/>
          <w:lang w:val="en-US" w:eastAsia="zh-CN"/>
        </w:rPr>
        <w:t>项目</w:t>
      </w:r>
      <w:r>
        <w:rPr>
          <w:rFonts w:hint="eastAsia" w:ascii="Times New Roman" w:hAnsi="Times New Roman"/>
          <w:bCs/>
          <w:color w:val="auto"/>
          <w:highlight w:val="none"/>
        </w:rPr>
        <w:t>应优先选址于交通条件便利</w:t>
      </w:r>
      <w:r>
        <w:rPr>
          <w:rFonts w:hint="eastAsia"/>
          <w:bCs/>
          <w:color w:val="auto"/>
          <w:highlight w:val="none"/>
          <w:lang w:eastAsia="zh-CN"/>
        </w:rPr>
        <w:t>、</w:t>
      </w:r>
      <w:r>
        <w:rPr>
          <w:rFonts w:hint="eastAsia" w:ascii="Times New Roman" w:hAnsi="Times New Roman"/>
          <w:bCs/>
          <w:color w:val="auto"/>
          <w:highlight w:val="none"/>
        </w:rPr>
        <w:t>教育</w:t>
      </w:r>
      <w:r>
        <w:rPr>
          <w:rFonts w:hint="eastAsia"/>
          <w:bCs/>
          <w:color w:val="auto"/>
          <w:highlight w:val="none"/>
          <w:lang w:val="en-US" w:eastAsia="zh-CN"/>
        </w:rPr>
        <w:t>医疗</w:t>
      </w:r>
      <w:r>
        <w:rPr>
          <w:rFonts w:hint="eastAsia" w:ascii="Times New Roman" w:hAnsi="Times New Roman"/>
          <w:bCs/>
          <w:color w:val="auto"/>
          <w:highlight w:val="none"/>
        </w:rPr>
        <w:t>设施和生活服务设施</w:t>
      </w:r>
      <w:r>
        <w:rPr>
          <w:rFonts w:hint="eastAsia"/>
          <w:bCs/>
          <w:color w:val="auto"/>
          <w:highlight w:val="none"/>
          <w:lang w:val="en-US" w:eastAsia="zh-CN"/>
        </w:rPr>
        <w:t>配套完善</w:t>
      </w:r>
      <w:r>
        <w:rPr>
          <w:rFonts w:hint="eastAsia" w:ascii="Times New Roman" w:hAnsi="Times New Roman"/>
          <w:bCs/>
          <w:color w:val="auto"/>
          <w:highlight w:val="none"/>
        </w:rPr>
        <w:t>的区域，满足居民出行和公共服务需求</w:t>
      </w:r>
      <w:r>
        <w:rPr>
          <w:rFonts w:hint="eastAsia"/>
          <w:bCs/>
          <w:color w:val="auto"/>
          <w:highlight w:val="none"/>
          <w:lang w:eastAsia="zh-CN"/>
        </w:rPr>
        <w:t>，</w:t>
      </w:r>
      <w:r>
        <w:rPr>
          <w:rFonts w:hint="eastAsia" w:ascii="Times New Roman" w:hAnsi="Times New Roman"/>
          <w:bCs/>
          <w:color w:val="auto"/>
          <w:highlight w:val="none"/>
        </w:rPr>
        <w:t>促进</w:t>
      </w:r>
      <w:r>
        <w:rPr>
          <w:rFonts w:hint="eastAsia"/>
          <w:bCs/>
          <w:color w:val="auto"/>
          <w:highlight w:val="none"/>
          <w:lang w:eastAsia="zh-CN"/>
        </w:rPr>
        <w:t>“</w:t>
      </w:r>
      <w:r>
        <w:rPr>
          <w:rFonts w:hint="eastAsia" w:ascii="Times New Roman" w:hAnsi="Times New Roman"/>
          <w:bCs/>
          <w:color w:val="auto"/>
          <w:highlight w:val="none"/>
        </w:rPr>
        <w:t>职住交服</w:t>
      </w:r>
      <w:r>
        <w:rPr>
          <w:rFonts w:hint="eastAsia"/>
          <w:bCs/>
          <w:color w:val="auto"/>
          <w:highlight w:val="none"/>
          <w:lang w:eastAsia="zh-CN"/>
        </w:rPr>
        <w:t>”</w:t>
      </w:r>
      <w:r>
        <w:rPr>
          <w:rFonts w:hint="eastAsia" w:ascii="Times New Roman" w:hAnsi="Times New Roman"/>
          <w:bCs/>
          <w:color w:val="auto"/>
          <w:highlight w:val="none"/>
        </w:rPr>
        <w:t>协同</w:t>
      </w:r>
      <w:r>
        <w:rPr>
          <w:rFonts w:hint="eastAsia" w:ascii="Times New Roman" w:hAnsi="Times New Roman"/>
          <w:bCs/>
          <w:color w:val="auto"/>
          <w:highlight w:val="none"/>
          <w:lang w:val="en-US" w:eastAsia="zh-CN"/>
        </w:rPr>
        <w:t>发展</w:t>
      </w:r>
      <w:r>
        <w:rPr>
          <w:rFonts w:hint="eastAsia" w:ascii="Times New Roman" w:hAnsi="Times New Roman"/>
          <w:bCs/>
          <w:color w:val="auto"/>
          <w:highlight w:val="none"/>
        </w:rPr>
        <w:t>。</w:t>
      </w:r>
    </w:p>
    <w:p w14:paraId="4B2B863E">
      <w:pPr>
        <w:pStyle w:val="5"/>
        <w:rPr>
          <w:rFonts w:hint="eastAsia"/>
          <w:highlight w:val="none"/>
          <w:lang w:val="en-US" w:eastAsia="zh-CN"/>
        </w:rPr>
      </w:pPr>
      <w:bookmarkStart w:id="520" w:name="_Toc4256"/>
      <w:bookmarkStart w:id="521" w:name="_Toc11341"/>
      <w:bookmarkStart w:id="522" w:name="_Toc9221"/>
      <w:bookmarkStart w:id="523" w:name="_Toc18713"/>
      <w:bookmarkStart w:id="524" w:name="_Toc1019"/>
      <w:bookmarkStart w:id="525" w:name="_Toc26330"/>
      <w:r>
        <w:rPr>
          <w:rFonts w:hint="eastAsia"/>
          <w:highlight w:val="none"/>
          <w:lang w:val="en-US" w:eastAsia="zh-CN"/>
        </w:rPr>
        <w:t>2.保障性住房空间布局策略</w:t>
      </w:r>
      <w:bookmarkEnd w:id="520"/>
      <w:bookmarkEnd w:id="521"/>
      <w:bookmarkEnd w:id="522"/>
      <w:bookmarkEnd w:id="523"/>
      <w:bookmarkEnd w:id="524"/>
      <w:bookmarkEnd w:id="525"/>
    </w:p>
    <w:p w14:paraId="59954BA8">
      <w:pPr>
        <w:rPr>
          <w:rFonts w:hint="eastAsia"/>
          <w:highlight w:val="none"/>
          <w:lang w:val="en-US" w:eastAsia="zh-CN"/>
        </w:rPr>
      </w:pPr>
      <w:r>
        <w:rPr>
          <w:rFonts w:hint="eastAsia"/>
          <w:highlight w:val="none"/>
          <w:lang w:val="en-US" w:eastAsia="zh-CN"/>
        </w:rPr>
        <w:t>坚持以产定居、就近保障和存量优先的原则，构建与产业发展和人口流动相匹配的住房保障体系。保障性住房重点向官庄工区、先进制造业开发区、白河南片区等产业集聚区域布局，集中建设保障性租赁住房、产业工人公寓和企业配套宿舍，优先保障产业工人、新就业人口和技能人才住房需求。中心城区宛城区、卧龙区等存量住房较多区域，以存量转化为主要方式补充保障房源，通过政府收购、定向回购、改建利用等方式，将闲置商品住房和老旧小区住房转化为保障性租赁住房，提高住房资源利用效率。在鸭河职教园区等教育和公共服务功能集聚区域，重点配套建设面向教职工、青年教师和培训人员的保障性租赁住房和人才公寓。保障性住房应优先布局在交通条件较好、公共服务设施相对完善的区域，同步完善教育、医疗、商业和社区服务配套，提升保障性住房社区的宜居性和稳定性，避免形成单一功能居住片区。</w:t>
      </w:r>
    </w:p>
    <w:p w14:paraId="10B25C66">
      <w:pPr>
        <w:pStyle w:val="5"/>
        <w:rPr>
          <w:rFonts w:hint="default" w:eastAsia="仿宋_GB2312"/>
          <w:b/>
          <w:bCs/>
          <w:highlight w:val="none"/>
          <w:lang w:val="en-US" w:eastAsia="zh-CN"/>
        </w:rPr>
      </w:pPr>
      <w:bookmarkStart w:id="526" w:name="_Toc16980"/>
      <w:bookmarkStart w:id="527" w:name="_Toc6205"/>
      <w:bookmarkStart w:id="528" w:name="_Toc9498"/>
      <w:bookmarkStart w:id="529" w:name="_Toc966"/>
      <w:r>
        <w:rPr>
          <w:rFonts w:hint="eastAsia"/>
          <w:b/>
          <w:bCs/>
          <w:highlight w:val="none"/>
          <w:lang w:val="en-US" w:eastAsia="zh-CN"/>
        </w:rPr>
        <w:t>3.中心城区各片区</w:t>
      </w:r>
      <w:r>
        <w:rPr>
          <w:rFonts w:hint="eastAsia"/>
          <w:b/>
          <w:bCs/>
          <w:highlight w:val="none"/>
        </w:rPr>
        <w:t>住房</w:t>
      </w:r>
      <w:r>
        <w:rPr>
          <w:rFonts w:hint="eastAsia"/>
          <w:b/>
          <w:bCs/>
          <w:highlight w:val="none"/>
          <w:lang w:val="en-US" w:eastAsia="zh-CN"/>
        </w:rPr>
        <w:t>发展指引</w:t>
      </w:r>
      <w:bookmarkEnd w:id="526"/>
      <w:bookmarkEnd w:id="527"/>
      <w:bookmarkEnd w:id="528"/>
      <w:bookmarkEnd w:id="529"/>
    </w:p>
    <w:p w14:paraId="417BCF40">
      <w:pPr>
        <w:rPr>
          <w:rFonts w:hint="eastAsia"/>
          <w:highlight w:val="none"/>
        </w:rPr>
      </w:pPr>
      <w:r>
        <w:rPr>
          <w:rFonts w:hint="eastAsia"/>
          <w:b/>
          <w:bCs/>
          <w:highlight w:val="none"/>
        </w:rPr>
        <w:t>老城区</w:t>
      </w:r>
      <w:r>
        <w:rPr>
          <w:rFonts w:hint="eastAsia"/>
          <w:highlight w:val="none"/>
        </w:rPr>
        <w:t>现状建成区比例较高，公共设施完善，规划重点改善建成区居住区环境质量与配套水平，依托白河、梅溪河、温凉河滨河绿带，通过城市更新、工业用地腾退等，形成一批环境良好、配套完善的宜居社区。</w:t>
      </w:r>
    </w:p>
    <w:p w14:paraId="30A1023F">
      <w:pPr>
        <w:rPr>
          <w:rFonts w:hint="eastAsia"/>
          <w:highlight w:val="none"/>
        </w:rPr>
      </w:pPr>
      <w:r>
        <w:rPr>
          <w:rFonts w:hint="eastAsia"/>
          <w:b/>
          <w:bCs/>
          <w:highlight w:val="none"/>
        </w:rPr>
        <w:t>东部新城</w:t>
      </w:r>
      <w:r>
        <w:rPr>
          <w:rFonts w:hint="eastAsia"/>
          <w:highlight w:val="none"/>
        </w:rPr>
        <w:t>作为城市重点发展片区和未来城市文化、商业、商务、新兴产业等高等级功能承载区，要加大居住用地供给，结合各级公共中心和健康产业、智慧产业发展，建设不同类型的居住社区，以适应不同的住宅需求。严格控制住宅开发强度与建筑高度，与周边的山水环境相协调，避免无序的住宅开发对未来新城布局完整性的破坏。</w:t>
      </w:r>
    </w:p>
    <w:p w14:paraId="5550B9CF">
      <w:pPr>
        <w:rPr>
          <w:rFonts w:hint="eastAsia"/>
          <w:highlight w:val="none"/>
        </w:rPr>
      </w:pPr>
      <w:r>
        <w:rPr>
          <w:rFonts w:hint="eastAsia"/>
          <w:b/>
          <w:bCs/>
          <w:highlight w:val="none"/>
        </w:rPr>
        <w:t>西部城区</w:t>
      </w:r>
      <w:r>
        <w:rPr>
          <w:rFonts w:hint="eastAsia"/>
          <w:highlight w:val="none"/>
        </w:rPr>
        <w:t>作为生态经济先行示范区，结合西部城区公共中心建设不同类型的居住社区，依托工业、物流产业新建配套普通住宅，严格控制住宅开发强度与建筑高度，与周边的山水环境相协调。</w:t>
      </w:r>
    </w:p>
    <w:p w14:paraId="2D6F4B74">
      <w:pPr>
        <w:rPr>
          <w:rFonts w:hint="eastAsia"/>
          <w:highlight w:val="none"/>
        </w:rPr>
      </w:pPr>
      <w:r>
        <w:rPr>
          <w:rFonts w:hint="eastAsia"/>
          <w:b/>
          <w:bCs/>
          <w:highlight w:val="none"/>
        </w:rPr>
        <w:t>白河南片区</w:t>
      </w:r>
      <w:r>
        <w:rPr>
          <w:rFonts w:hint="eastAsia"/>
          <w:highlight w:val="none"/>
        </w:rPr>
        <w:t>作为城市商贸、工业、物流综合发展组团，一方面，加强沿白河界面城市更新，整合现状居住用地，结合白河南片区公共中心建设不同类型的居住社区，以适应不同的住宅需求。另一方面，加大居住用地供给，结合产业布局集中安排配套普通住宅与面向中低收入者的</w:t>
      </w:r>
      <w:r>
        <w:rPr>
          <w:rFonts w:hint="eastAsia"/>
          <w:highlight w:val="none"/>
          <w:lang w:val="en-US" w:eastAsia="zh-CN"/>
        </w:rPr>
        <w:t>保障性住房</w:t>
      </w:r>
      <w:r>
        <w:rPr>
          <w:rFonts w:hint="eastAsia"/>
          <w:highlight w:val="none"/>
        </w:rPr>
        <w:t>。</w:t>
      </w:r>
    </w:p>
    <w:p w14:paraId="41735788">
      <w:pPr>
        <w:rPr>
          <w:rFonts w:hint="eastAsia"/>
          <w:highlight w:val="none"/>
        </w:rPr>
      </w:pPr>
      <w:r>
        <w:rPr>
          <w:rFonts w:hint="eastAsia"/>
          <w:b/>
          <w:bCs/>
          <w:highlight w:val="none"/>
        </w:rPr>
        <w:t>鸭河职教园区</w:t>
      </w:r>
      <w:r>
        <w:rPr>
          <w:rFonts w:hint="eastAsia"/>
          <w:highlight w:val="none"/>
        </w:rPr>
        <w:t>作为教育与职业培训集聚区，应重点发展适应教育功能的住房类型：围绕学校、科研机构周边规划建设学生公寓、教职工人才公寓及短期租赁公寓，满足教职员工、培训人员及实习生的住宿需求。依托职教园区生态资源，可适度发展教育配套型长租公寓和亲子友好型居住社区，并配套生活服务设施，增强园区宜居宜学氛围。</w:t>
      </w:r>
    </w:p>
    <w:p w14:paraId="2EC0F02D">
      <w:pPr>
        <w:rPr>
          <w:rFonts w:hint="eastAsia"/>
          <w:highlight w:val="none"/>
        </w:rPr>
      </w:pPr>
      <w:r>
        <w:rPr>
          <w:rFonts w:hint="eastAsia"/>
          <w:b/>
          <w:bCs/>
          <w:highlight w:val="none"/>
        </w:rPr>
        <w:t>官庄工区</w:t>
      </w:r>
      <w:r>
        <w:rPr>
          <w:rFonts w:hint="eastAsia"/>
          <w:highlight w:val="none"/>
        </w:rPr>
        <w:t>作为重要工业片区，应以保障性住房、职工住宅和企业配套宿舍为核心住房供给方向，优先保障产业工人及制造业从业人员居住需求，通过建立职住一体化社区减轻通勤压力。结合企业园区现有资源，可探索与企业合作建设产业工人公寓及租赁型住房，并引入基础生活配套（商业、医疗、幼教等），提升职工社区生活品质。</w:t>
      </w:r>
    </w:p>
    <w:p w14:paraId="078D2254">
      <w:pPr>
        <w:pStyle w:val="4"/>
        <w:bidi w:val="0"/>
        <w:rPr>
          <w:rFonts w:hint="eastAsia"/>
          <w:highlight w:val="none"/>
          <w:lang w:val="en-US" w:eastAsia="zh-CN"/>
        </w:rPr>
      </w:pPr>
      <w:bookmarkStart w:id="530" w:name="_Toc19847"/>
      <w:bookmarkStart w:id="531" w:name="_Toc23856"/>
      <w:bookmarkStart w:id="532" w:name="_Toc25683"/>
      <w:bookmarkStart w:id="533" w:name="_Toc18899"/>
      <w:bookmarkStart w:id="534" w:name="_Toc8776"/>
      <w:bookmarkStart w:id="535" w:name="_Toc7807"/>
      <w:bookmarkStart w:id="536" w:name="_Toc20597"/>
      <w:bookmarkStart w:id="537" w:name="_Toc17116"/>
      <w:bookmarkStart w:id="538" w:name="_Toc6780"/>
      <w:bookmarkStart w:id="539" w:name="_Toc9228"/>
      <w:bookmarkStart w:id="540" w:name="_Toc19548"/>
      <w:bookmarkStart w:id="541" w:name="_Toc21249"/>
      <w:bookmarkStart w:id="542" w:name="_Toc18090"/>
      <w:bookmarkStart w:id="543" w:name="_Toc19814"/>
      <w:bookmarkStart w:id="544" w:name="_Toc25271"/>
      <w:r>
        <w:rPr>
          <w:rFonts w:hint="eastAsia"/>
          <w:highlight w:val="none"/>
          <w:lang w:val="en-US" w:eastAsia="zh-CN"/>
        </w:rPr>
        <w:t>（三）下辖县市住房发展指引</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3E1C026">
      <w:pPr>
        <w:pStyle w:val="5"/>
        <w:rPr>
          <w:rFonts w:hint="eastAsia"/>
          <w:b/>
          <w:bCs/>
          <w:highlight w:val="none"/>
          <w:lang w:val="en-US" w:eastAsia="zh-CN"/>
        </w:rPr>
      </w:pPr>
      <w:r>
        <w:rPr>
          <w:rFonts w:hint="eastAsia"/>
          <w:b/>
          <w:bCs/>
          <w:highlight w:val="none"/>
          <w:lang w:val="en-US" w:eastAsia="zh-CN"/>
        </w:rPr>
        <w:t>1.住房发展总体目标</w:t>
      </w:r>
    </w:p>
    <w:p w14:paraId="7792D797">
      <w:pPr>
        <w:ind w:firstLine="640" w:firstLineChars="200"/>
        <w:jc w:val="both"/>
        <w:rPr>
          <w:rFonts w:hint="eastAsia" w:ascii="Times New Roman" w:hAnsi="Times New Roman"/>
          <w:b w:val="0"/>
          <w:bCs w:val="0"/>
          <w:color w:val="auto"/>
          <w:highlight w:val="none"/>
          <w:lang w:val="en-US" w:eastAsia="zh-CN"/>
        </w:rPr>
      </w:pPr>
      <w:r>
        <w:rPr>
          <w:rFonts w:hint="eastAsia" w:ascii="Times New Roman" w:hAnsi="Times New Roman"/>
          <w:b w:val="0"/>
          <w:bCs w:val="0"/>
          <w:color w:val="auto"/>
          <w:highlight w:val="none"/>
          <w:lang w:val="en-US" w:eastAsia="zh-CN"/>
        </w:rPr>
        <w:t>“十五五”期间，</w:t>
      </w:r>
      <w:r>
        <w:rPr>
          <w:rFonts w:hint="eastAsia"/>
          <w:color w:val="auto"/>
          <w:highlight w:val="none"/>
        </w:rPr>
        <w:t>下辖县市</w:t>
      </w:r>
      <w:r>
        <w:rPr>
          <w:rFonts w:hint="eastAsia" w:ascii="Times New Roman" w:hAnsi="Times New Roman"/>
          <w:b w:val="0"/>
          <w:bCs w:val="0"/>
          <w:color w:val="auto"/>
          <w:highlight w:val="none"/>
          <w:lang w:val="en-US" w:eastAsia="zh-CN"/>
        </w:rPr>
        <w:t>新建</w:t>
      </w:r>
      <w:r>
        <w:rPr>
          <w:rFonts w:hint="eastAsia"/>
          <w:b w:val="0"/>
          <w:bCs w:val="0"/>
          <w:color w:val="auto"/>
          <w:highlight w:val="none"/>
          <w:lang w:val="en-US" w:eastAsia="zh-CN"/>
        </w:rPr>
        <w:t>商品住房</w:t>
      </w:r>
      <w:r>
        <w:rPr>
          <w:rFonts w:hint="eastAsia" w:ascii="Times New Roman" w:hAnsi="Times New Roman"/>
          <w:b w:val="0"/>
          <w:bCs w:val="0"/>
          <w:color w:val="auto"/>
          <w:highlight w:val="none"/>
          <w:lang w:val="en-US" w:eastAsia="zh-CN"/>
        </w:rPr>
        <w:t>规划新增供应</w:t>
      </w:r>
      <w:r>
        <w:rPr>
          <w:rFonts w:hint="eastAsia"/>
          <w:b w:val="0"/>
          <w:bCs w:val="0"/>
          <w:color w:val="auto"/>
          <w:highlight w:val="none"/>
          <w:lang w:val="en-US" w:eastAsia="zh-CN"/>
        </w:rPr>
        <w:t>76000</w:t>
      </w:r>
      <w:r>
        <w:rPr>
          <w:rFonts w:hint="eastAsia" w:ascii="Times New Roman" w:hAnsi="Times New Roman"/>
          <w:b w:val="0"/>
          <w:bCs w:val="0"/>
          <w:color w:val="auto"/>
          <w:highlight w:val="none"/>
          <w:lang w:val="en-US" w:eastAsia="zh-CN"/>
        </w:rPr>
        <w:t>套。</w:t>
      </w:r>
      <w:r>
        <w:rPr>
          <w:rFonts w:hint="eastAsia"/>
          <w:color w:val="auto"/>
          <w:highlight w:val="none"/>
        </w:rPr>
        <w:t>各县市立足自身资源禀赋、产业基础和城市定位，推动住房发展从规模扩张向内涵提升转型，以存量更新、老旧小区改造和存量用地盘活为核心，兼顾职住平衡、产城融合与生态宜居。其中，新野、南召、淅川、桐柏、西峡</w:t>
      </w:r>
      <w:r>
        <w:rPr>
          <w:rFonts w:hint="eastAsia"/>
          <w:color w:val="auto"/>
          <w:highlight w:val="none"/>
          <w:lang w:val="en-US" w:eastAsia="zh-CN"/>
        </w:rPr>
        <w:t>需控制住房</w:t>
      </w:r>
      <w:r>
        <w:rPr>
          <w:rFonts w:hint="eastAsia"/>
          <w:color w:val="auto"/>
          <w:highlight w:val="none"/>
        </w:rPr>
        <w:t>新增</w:t>
      </w:r>
      <w:r>
        <w:rPr>
          <w:rFonts w:hint="eastAsia"/>
          <w:color w:val="auto"/>
          <w:highlight w:val="none"/>
          <w:lang w:val="en-US" w:eastAsia="zh-CN"/>
        </w:rPr>
        <w:t>规模</w:t>
      </w:r>
      <w:r>
        <w:rPr>
          <w:rFonts w:hint="eastAsia"/>
          <w:color w:val="auto"/>
          <w:highlight w:val="none"/>
        </w:rPr>
        <w:t>，聚焦存量提质、特色业态发展；镇平、唐河、邓州、方城作为人口与产业重点承载区</w:t>
      </w:r>
      <w:r>
        <w:rPr>
          <w:rFonts w:hint="eastAsia"/>
          <w:color w:val="auto"/>
          <w:highlight w:val="none"/>
          <w:lang w:eastAsia="zh-CN"/>
        </w:rPr>
        <w:t>，</w:t>
      </w:r>
      <w:r>
        <w:rPr>
          <w:rFonts w:hint="eastAsia"/>
          <w:color w:val="auto"/>
          <w:highlight w:val="none"/>
        </w:rPr>
        <w:t>适度增加住房有效供给，优化住房结构、完善配套设施，强化人口集聚与产业支撑能力，形成“严控区做精、重点区强化”的协同格局，满足居民多样化居住需求。</w:t>
      </w:r>
    </w:p>
    <w:p w14:paraId="4F2CCAE1">
      <w:pPr>
        <w:pStyle w:val="5"/>
        <w:rPr>
          <w:rFonts w:hint="default" w:eastAsia="仿宋_GB2312"/>
          <w:b/>
          <w:bCs/>
          <w:highlight w:val="none"/>
          <w:lang w:val="en-US" w:eastAsia="zh-CN"/>
        </w:rPr>
      </w:pPr>
      <w:r>
        <w:rPr>
          <w:rFonts w:hint="eastAsia"/>
          <w:b/>
          <w:bCs/>
          <w:highlight w:val="none"/>
          <w:lang w:val="en-US" w:eastAsia="zh-CN"/>
        </w:rPr>
        <w:t>2.分县市住房发展策略</w:t>
      </w:r>
    </w:p>
    <w:p w14:paraId="18930CFA">
      <w:pPr>
        <w:rPr>
          <w:rFonts w:hint="default"/>
          <w:highlight w:val="none"/>
          <w:lang w:val="en-US" w:eastAsia="zh-CN"/>
        </w:rPr>
      </w:pPr>
      <w:r>
        <w:rPr>
          <w:rFonts w:hint="eastAsia"/>
          <w:b/>
          <w:bCs/>
          <w:highlight w:val="none"/>
          <w:lang w:val="en-US" w:eastAsia="zh-CN"/>
        </w:rPr>
        <w:t>南召县：</w:t>
      </w:r>
      <w:r>
        <w:rPr>
          <w:rFonts w:hint="eastAsia"/>
          <w:b w:val="0"/>
          <w:bCs w:val="0"/>
          <w:highlight w:val="none"/>
        </w:rPr>
        <w:t>立足</w:t>
      </w:r>
      <w:r>
        <w:rPr>
          <w:rFonts w:hint="eastAsia"/>
          <w:b w:val="0"/>
          <w:bCs w:val="0"/>
          <w:highlight w:val="none"/>
          <w:lang w:eastAsia="zh-CN"/>
        </w:rPr>
        <w:t>“</w:t>
      </w:r>
      <w:r>
        <w:rPr>
          <w:rFonts w:hint="eastAsia"/>
          <w:b w:val="0"/>
          <w:bCs w:val="0"/>
          <w:highlight w:val="none"/>
        </w:rPr>
        <w:t>山城、水城、生态旅游城</w:t>
      </w:r>
      <w:r>
        <w:rPr>
          <w:rFonts w:hint="eastAsia"/>
          <w:b w:val="0"/>
          <w:bCs w:val="0"/>
          <w:highlight w:val="none"/>
          <w:lang w:eastAsia="zh-CN"/>
        </w:rPr>
        <w:t>”</w:t>
      </w:r>
      <w:r>
        <w:rPr>
          <w:rFonts w:hint="eastAsia"/>
          <w:b w:val="0"/>
          <w:bCs w:val="0"/>
          <w:highlight w:val="none"/>
        </w:rPr>
        <w:t>的发展定位，深入实施城市更新提质工作。依托产业集聚和完善公共服务，引导人口有序集聚，实现职住平衡、产城融合与住房存量高效利用。</w:t>
      </w:r>
      <w:r>
        <w:rPr>
          <w:rFonts w:hint="eastAsia"/>
          <w:highlight w:val="none"/>
          <w:lang w:val="en-US" w:eastAsia="zh-CN"/>
        </w:rPr>
        <w:t>以县城核心区为重点，实行存量更新优先、增量开发从严，推进老旧小区改造和配套完善，适度发展改善性商品住房，提升中心区居住承载力和吸引力。依托先进制造业开发区等产业集聚区，统筹产业与住房空间布局，在产业片区合理配置保障性租赁住房、产业配套住房和人才住房，服务产业用工需求。</w:t>
      </w:r>
    </w:p>
    <w:p w14:paraId="1DE3FD9B">
      <w:pPr>
        <w:rPr>
          <w:rFonts w:hint="eastAsia"/>
          <w:highlight w:val="none"/>
          <w:lang w:val="en-US" w:eastAsia="zh-CN"/>
        </w:rPr>
      </w:pPr>
      <w:r>
        <w:rPr>
          <w:rFonts w:hint="eastAsia"/>
          <w:b/>
          <w:bCs/>
          <w:highlight w:val="none"/>
          <w:lang w:val="en-US" w:eastAsia="zh-CN"/>
        </w:rPr>
        <w:t>方城县：</w:t>
      </w:r>
      <w:r>
        <w:rPr>
          <w:rFonts w:hint="eastAsia"/>
          <w:highlight w:val="none"/>
          <w:lang w:val="en-US" w:eastAsia="zh-CN"/>
        </w:rPr>
        <w:t>推动住房由规模扩张向结构优化和品质提升转变。县城核心区重点推进存量住房更新和老旧小区改造，适度发展改善性商品住房，提升居住承载力。依托先进制造业开发区、学校等区域，合理布局保障性租赁住房和人才住房等，满足产业工人和青年人才居住需求。</w:t>
      </w:r>
    </w:p>
    <w:p w14:paraId="38EB2ADF">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default"/>
          <w:highlight w:val="none"/>
          <w:lang w:val="en-US" w:eastAsia="zh-CN"/>
        </w:rPr>
      </w:pPr>
      <w:r>
        <w:rPr>
          <w:rFonts w:hint="eastAsia"/>
          <w:b/>
          <w:bCs/>
          <w:highlight w:val="none"/>
          <w:lang w:val="en-US" w:eastAsia="zh-CN"/>
        </w:rPr>
        <w:t>西峡县：</w:t>
      </w:r>
      <w:r>
        <w:rPr>
          <w:rFonts w:hint="default"/>
          <w:highlight w:val="none"/>
          <w:lang w:val="en-US" w:eastAsia="zh-CN"/>
        </w:rPr>
        <w:t>围绕豫鄂陕毗邻地区重要中心城市和全国生态文明建设示范样板定位，优化住房空间布局和发展方式。老城区以存量提质为主，重点推进存量住房更新和老旧小区改造，盘活存量住宅用地，依托鹳河等自然生态资源，适度发展低密度、生态型住宅，提升居住环境品质。引导新增住房建设向城北新区等规划条件成熟、生态本底良好的片区有序集中，新建住房坚持品质提升和绿色低碳导向，合理发展</w:t>
      </w:r>
      <w:r>
        <w:rPr>
          <w:rFonts w:hint="eastAsia"/>
          <w:highlight w:val="none"/>
          <w:lang w:val="en-US" w:eastAsia="zh-CN"/>
        </w:rPr>
        <w:t>改善性</w:t>
      </w:r>
      <w:r>
        <w:rPr>
          <w:rFonts w:hint="default"/>
          <w:highlight w:val="none"/>
          <w:lang w:val="en-US" w:eastAsia="zh-CN"/>
        </w:rPr>
        <w:t>商品住房，推广绿色建筑和节能技术，打造宜居宜业的现代化居住片区。新老城区住房发展以盘活存量住宅用地为优先，结合市场去化和人口导入节奏，审慎安排新增住宅用地供应，推动住房空间布局由外延扩张向内涵提升转变。</w:t>
      </w:r>
    </w:p>
    <w:p w14:paraId="4152EAC0">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b w:val="0"/>
          <w:bCs w:val="0"/>
          <w:highlight w:val="none"/>
          <w:lang w:val="en-US" w:eastAsia="zh-CN"/>
        </w:rPr>
      </w:pPr>
      <w:r>
        <w:rPr>
          <w:rFonts w:hint="eastAsia"/>
          <w:b/>
          <w:bCs/>
          <w:highlight w:val="none"/>
          <w:lang w:val="en-US" w:eastAsia="zh-CN"/>
        </w:rPr>
        <w:t>镇平县：</w:t>
      </w:r>
      <w:r>
        <w:rPr>
          <w:rFonts w:hint="eastAsia"/>
          <w:b w:val="0"/>
          <w:bCs w:val="0"/>
          <w:highlight w:val="none"/>
          <w:lang w:val="en-US" w:eastAsia="zh-CN"/>
        </w:rPr>
        <w:t>坚持“老城区存量优化、新城区有序开发”的原则。老城区商品住房有限，以存量住房更新、老旧小区改造和低密度生态住宅为主，盘活现有住宅用地，改善居住环境和公共服务；新城区商品住房相对充足，重点满足玉文化产业、制造业等产业人口及城镇居民多层次需求，同时完善基础设施和公共服务，推动人口与产业集聚，提升商品住房去化能力，增强购房吸引力，减少人口向南阳市区流动，实现住房空间由外延扩张向内涵提升转变。</w:t>
      </w:r>
    </w:p>
    <w:p w14:paraId="66006857">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b w:val="0"/>
          <w:bCs w:val="0"/>
          <w:highlight w:val="none"/>
          <w:lang w:val="en-US" w:eastAsia="zh-CN"/>
        </w:rPr>
      </w:pPr>
      <w:r>
        <w:rPr>
          <w:rFonts w:hint="eastAsia"/>
          <w:b/>
          <w:bCs/>
          <w:highlight w:val="none"/>
          <w:lang w:val="en-US" w:eastAsia="zh-CN"/>
        </w:rPr>
        <w:t>内乡县：</w:t>
      </w:r>
      <w:r>
        <w:rPr>
          <w:rFonts w:hint="eastAsia"/>
          <w:b w:val="0"/>
          <w:bCs w:val="0"/>
          <w:highlight w:val="none"/>
          <w:lang w:val="en-US" w:eastAsia="zh-CN"/>
        </w:rPr>
        <w:t>坚持“老城区提质、新区集聚、文旅赋能”的原则。老城区以存量住房更新、老旧小区改造为主，盘活闲置房源，依托宝天曼山水和县衙文化资源发展文旅康养载体，提升居住品质和文化氛围；新城区商品住房相对充足，完善基础设施和公共服务，吸引人口聚集，提升去化能力和购房吸引力。湍东镇作为工业重镇，依托产业园区，推动利用闲置房源改造为保障性及产业配套住房，重点满足产业工人和青年人才居住需求，同时完善基础设施，提升镇区城市功能承载能力。</w:t>
      </w:r>
    </w:p>
    <w:p w14:paraId="1F33813E">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default"/>
          <w:b w:val="0"/>
          <w:bCs w:val="0"/>
          <w:highlight w:val="none"/>
          <w:lang w:val="en-US" w:eastAsia="zh-CN"/>
        </w:rPr>
      </w:pPr>
      <w:r>
        <w:rPr>
          <w:rFonts w:hint="eastAsia"/>
          <w:b/>
          <w:bCs/>
          <w:highlight w:val="none"/>
          <w:lang w:val="en-US" w:eastAsia="zh-CN"/>
        </w:rPr>
        <w:t>淅川县：</w:t>
      </w:r>
      <w:r>
        <w:rPr>
          <w:rFonts w:hint="eastAsia"/>
          <w:b w:val="0"/>
          <w:bCs w:val="0"/>
          <w:highlight w:val="none"/>
          <w:lang w:val="en-US" w:eastAsia="zh-CN"/>
        </w:rPr>
        <w:t>坚持“生态优先、文旅引领、产城融合、存量优化”的总体思路。商圣街道、龙城街道重点推进存量住房更新和老旧小区改造，完善基础设施和公共服务，提升居住品质与城市安全水平；依托丹江口水库、南水北调中线工程和楚文化资源，推动闲置住房向旅居、康养和特色民宿转化，促进住房与生态文旅深度融合。上集镇结合周边产业园区发展需求，积极盘活存量住宅用地，推动存量住宅有序开发和功能提升，重点满足产业工人、青年人才及本地居民居住需求，促进产城协同发展。</w:t>
      </w:r>
    </w:p>
    <w:p w14:paraId="6C6E9F5C">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default"/>
          <w:b w:val="0"/>
          <w:bCs w:val="0"/>
          <w:highlight w:val="none"/>
          <w:lang w:val="en-US" w:eastAsia="zh-CN"/>
        </w:rPr>
      </w:pPr>
      <w:r>
        <w:rPr>
          <w:rFonts w:hint="eastAsia"/>
          <w:b/>
          <w:bCs/>
          <w:highlight w:val="none"/>
          <w:lang w:val="en-US" w:eastAsia="zh-CN"/>
        </w:rPr>
        <w:t>社旗县：</w:t>
      </w:r>
      <w:r>
        <w:rPr>
          <w:rFonts w:hint="eastAsia"/>
          <w:b w:val="0"/>
          <w:bCs w:val="0"/>
          <w:highlight w:val="none"/>
          <w:lang w:val="en-US" w:eastAsia="zh-CN"/>
        </w:rPr>
        <w:t>坚持“片区引导、职住协同、品质提升”的总体思路。县城中心片区以存量住房提质为主导，重点完善二手房交易和住房租赁体系，依托成熟的商业、教育和公共服务资源，持续改善居住环境，主要满足本地居民自住与教育居住需求；城西片区依托赵河滨水景观带、酒香小镇文旅资源及通达南阳的区位优势，合理发展高品质改善性住房，打造生态宜居与文旅融合的滨水居住片区；城北片区紧邻产业集聚区，重点布局刚需和刚改型商品住房及保障性住房，服务产业工人和青年家庭，推动职住平衡；赵河以南开发区作为新兴拓展区域，坚持完善基础设施和生态配套先行，审慎推进住房开发，引导人口有序集聚。</w:t>
      </w:r>
    </w:p>
    <w:p w14:paraId="022B2645">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b w:val="0"/>
          <w:bCs w:val="0"/>
          <w:highlight w:val="none"/>
          <w:lang w:val="en-US" w:eastAsia="zh-CN"/>
        </w:rPr>
      </w:pPr>
      <w:r>
        <w:rPr>
          <w:rFonts w:hint="eastAsia"/>
          <w:b/>
          <w:bCs/>
          <w:highlight w:val="none"/>
          <w:lang w:val="en-US" w:eastAsia="zh-CN"/>
        </w:rPr>
        <w:t>唐河县：</w:t>
      </w:r>
      <w:r>
        <w:rPr>
          <w:rFonts w:hint="eastAsia"/>
          <w:b w:val="0"/>
          <w:bCs w:val="0"/>
          <w:highlight w:val="none"/>
        </w:rPr>
        <w:t>坚持产城融合、宜居优先、功能互补的原则</w:t>
      </w:r>
      <w:r>
        <w:rPr>
          <w:rFonts w:hint="eastAsia"/>
          <w:b w:val="0"/>
          <w:bCs w:val="0"/>
          <w:highlight w:val="none"/>
          <w:lang w:eastAsia="zh-CN"/>
        </w:rPr>
        <w:t>。</w:t>
      </w:r>
      <w:r>
        <w:rPr>
          <w:rFonts w:hint="eastAsia"/>
          <w:b w:val="0"/>
          <w:bCs w:val="0"/>
          <w:highlight w:val="none"/>
          <w:lang w:val="en-US" w:eastAsia="zh-CN"/>
        </w:rPr>
        <w:t>滨河街道综合服务区作为政府机构及行政办公集聚区，适度供应改善性住房和人才公寓，完善教育、医疗、商业及交通配套；中心城区重点推进老旧小区改造，提升居住品质和社区功能；</w:t>
      </w:r>
      <w:r>
        <w:rPr>
          <w:rFonts w:hint="eastAsia" w:ascii="Times New Roman" w:hAnsi="Times New Roman" w:eastAsia="仿宋_GB2312" w:cstheme="minorBidi"/>
          <w:sz w:val="32"/>
          <w:szCs w:val="24"/>
          <w:highlight w:val="none"/>
          <w:vertAlign w:val="baseline"/>
          <w:lang w:val="en-US" w:eastAsia="zh-CN"/>
        </w:rPr>
        <w:t>产业集聚区以产业工人及新就业人口为主体，优先布局保障性住房及租赁住房，推动产城融合，完善企业服务、公共交通及教育配套</w:t>
      </w:r>
      <w:r>
        <w:rPr>
          <w:rFonts w:hint="eastAsia"/>
          <w:b w:val="0"/>
          <w:bCs w:val="0"/>
          <w:highlight w:val="none"/>
          <w:lang w:val="en-US" w:eastAsia="zh-CN"/>
        </w:rPr>
        <w:t>；同时，在滨水区域、栀子产业带及特色乡镇适度发展康养住宅、旅居住宅及红色主题民宿，形成产城融合、文旅结合、生态宜居的城镇住房体系。</w:t>
      </w:r>
    </w:p>
    <w:p w14:paraId="03C86A65">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eastAsia"/>
          <w:b w:val="0"/>
          <w:bCs w:val="0"/>
          <w:highlight w:val="none"/>
          <w:lang w:val="en-US" w:eastAsia="zh-CN"/>
        </w:rPr>
      </w:pPr>
      <w:r>
        <w:rPr>
          <w:rFonts w:hint="eastAsia"/>
          <w:b/>
          <w:bCs/>
          <w:highlight w:val="none"/>
          <w:lang w:val="en-US" w:eastAsia="zh-CN"/>
        </w:rPr>
        <w:t>新野县：</w:t>
      </w:r>
      <w:r>
        <w:rPr>
          <w:rFonts w:hint="eastAsia"/>
          <w:b w:val="0"/>
          <w:bCs w:val="0"/>
          <w:highlight w:val="none"/>
          <w:lang w:val="en-US" w:eastAsia="zh-CN"/>
        </w:rPr>
        <w:t>坚持分类指导、存量盘活、产城融合与生态宜居原则。老城生活组团重点推进老旧小区改造和存量住房提升，结合白河生态旅游带盘活存量住房，发展低密度生态住宅，改善居住环境、提升生活品质；城北政务中心及城北生活组团适度布局人才公寓，满足公务及高端服务业职住需求，配套完善教育、医疗、商业和公共交通设施；围绕北部门户、物流服务、产业创新等功能节点，以及先进制造业开发区东、西组团，优先布局产业工人和新就业人口住房，强化职住平衡和产城融合，完善企业服务、公共交通、教育及基础生活设施。</w:t>
      </w:r>
    </w:p>
    <w:p w14:paraId="743AC53B">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default"/>
          <w:b w:val="0"/>
          <w:bCs w:val="0"/>
          <w:highlight w:val="none"/>
          <w:lang w:val="en-US" w:eastAsia="zh-CN"/>
        </w:rPr>
      </w:pPr>
      <w:r>
        <w:rPr>
          <w:rFonts w:hint="eastAsia"/>
          <w:b/>
          <w:bCs/>
          <w:highlight w:val="none"/>
          <w:lang w:val="en-US" w:eastAsia="zh-CN"/>
        </w:rPr>
        <w:t>桐柏县：</w:t>
      </w:r>
      <w:r>
        <w:rPr>
          <w:rFonts w:hint="eastAsia"/>
          <w:b w:val="0"/>
          <w:bCs w:val="0"/>
          <w:highlight w:val="none"/>
        </w:rPr>
        <w:t>坚持</w:t>
      </w:r>
      <w:r>
        <w:rPr>
          <w:rFonts w:hint="eastAsia"/>
          <w:b w:val="0"/>
          <w:bCs w:val="0"/>
          <w:highlight w:val="none"/>
          <w:lang w:val="en-US" w:eastAsia="zh-CN"/>
        </w:rPr>
        <w:t>存量提升</w:t>
      </w:r>
      <w:r>
        <w:rPr>
          <w:rFonts w:hint="eastAsia"/>
          <w:b w:val="0"/>
          <w:bCs w:val="0"/>
          <w:highlight w:val="none"/>
        </w:rPr>
        <w:t>、多元布局的原则</w:t>
      </w:r>
      <w:r>
        <w:rPr>
          <w:rFonts w:hint="eastAsia"/>
          <w:b w:val="0"/>
          <w:bCs w:val="0"/>
          <w:highlight w:val="none"/>
          <w:lang w:eastAsia="zh-CN"/>
        </w:rPr>
        <w:t>。</w:t>
      </w:r>
      <w:r>
        <w:rPr>
          <w:rFonts w:hint="eastAsia"/>
          <w:b w:val="0"/>
          <w:bCs w:val="0"/>
          <w:highlight w:val="none"/>
          <w:lang w:val="en-US" w:eastAsia="zh-CN"/>
        </w:rPr>
        <w:t>中心城区和老城片区重点推进老旧小区改造与存量住房提升，适度发展改善性住房和人才公寓；在工业园区及产业功能片区优先布局产业工人及新就业人口住房，促进产城融合和职住平衡；依托桐柏山生态优势，在城关镇、淮源镇等板块发展温泉疗养、森林康养及旅居住宅，结合南阳市“中医药+”产业布局推动康养、旅游与居住融合，同时完善租赁市场，满足多层次、多样化住房需求，实现产城职住一体化和宜居环境建设。</w:t>
      </w:r>
    </w:p>
    <w:p w14:paraId="33BB3B90">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outlineLvl w:val="9"/>
        <w:rPr>
          <w:rFonts w:hint="default"/>
          <w:b w:val="0"/>
          <w:bCs w:val="0"/>
          <w:highlight w:val="none"/>
          <w:lang w:val="en-US" w:eastAsia="zh-CN"/>
        </w:rPr>
      </w:pPr>
      <w:r>
        <w:rPr>
          <w:rFonts w:hint="eastAsia"/>
          <w:b/>
          <w:bCs/>
          <w:highlight w:val="none"/>
          <w:lang w:val="en-US" w:eastAsia="zh-CN"/>
        </w:rPr>
        <w:t>邓州市：</w:t>
      </w:r>
      <w:r>
        <w:rPr>
          <w:rFonts w:hint="eastAsia"/>
          <w:b w:val="0"/>
          <w:bCs w:val="0"/>
          <w:highlight w:val="none"/>
        </w:rPr>
        <w:t>坚持产城融合、宜居优先、功能分区的原则</w:t>
      </w:r>
      <w:r>
        <w:rPr>
          <w:rFonts w:hint="eastAsia"/>
          <w:b w:val="0"/>
          <w:bCs w:val="0"/>
          <w:highlight w:val="none"/>
          <w:lang w:eastAsia="zh-CN"/>
        </w:rPr>
        <w:t>。</w:t>
      </w:r>
      <w:r>
        <w:rPr>
          <w:rFonts w:hint="eastAsia"/>
          <w:b w:val="0"/>
          <w:bCs w:val="0"/>
          <w:highlight w:val="none"/>
          <w:lang w:val="en-US" w:eastAsia="zh-CN"/>
        </w:rPr>
        <w:t>老城组团聚焦老旧小区改造和存量住房盘活，推进花洲街道、湍河街道等老城区更新，实施“以旧换新”，引导居民向新城区置换改善性住房，同时保护历史文化；新城区适度布局改善性住房和人才公寓，承接老城区置换需求，吸引高素质人才聚集；北部生态宜居组团依托市政文化中心，统筹高品质改善性住房建设与生态环境、公共服务、文化设施布局，打造宜居宜业社区；邓西湖康养组团结合康养医疗、旅居和中医药产业，打造康养型住宅与旅游休闲融合社区；南部先进制造业开发区组团优先保障产业工人及新就业人口住房，完善职住配套，推动产城深度融合。</w:t>
      </w:r>
    </w:p>
    <w:p w14:paraId="63137539">
      <w:pPr>
        <w:pStyle w:val="3"/>
        <w:bidi w:val="0"/>
        <w:rPr>
          <w:rFonts w:hint="eastAsia"/>
          <w:highlight w:val="none"/>
          <w:lang w:val="en-US" w:eastAsia="zh-CN"/>
        </w:rPr>
      </w:pPr>
      <w:bookmarkStart w:id="545" w:name="_Toc27632"/>
      <w:bookmarkStart w:id="546" w:name="_Toc16897"/>
      <w:bookmarkStart w:id="547" w:name="_Toc24547"/>
      <w:bookmarkStart w:id="548" w:name="_Toc13267"/>
      <w:bookmarkStart w:id="549" w:name="_Toc28512"/>
      <w:bookmarkStart w:id="550" w:name="_Toc31117"/>
      <w:bookmarkStart w:id="551" w:name="_Toc12346"/>
      <w:bookmarkStart w:id="552" w:name="_Toc6705"/>
      <w:bookmarkStart w:id="553" w:name="_Toc20751"/>
      <w:bookmarkStart w:id="554" w:name="_Toc15565"/>
      <w:bookmarkStart w:id="555" w:name="_Toc16203"/>
      <w:bookmarkStart w:id="556" w:name="_Toc32630"/>
      <w:bookmarkStart w:id="557" w:name="_Toc1553"/>
      <w:bookmarkStart w:id="558" w:name="_Toc17609"/>
      <w:bookmarkStart w:id="559" w:name="_Toc19182"/>
      <w:bookmarkStart w:id="560" w:name="_Toc2798"/>
      <w:bookmarkStart w:id="561" w:name="_Toc20695"/>
      <w:bookmarkStart w:id="562" w:name="_Toc3942"/>
      <w:bookmarkStart w:id="563" w:name="_Toc22284"/>
      <w:bookmarkStart w:id="564" w:name="_Toc11227"/>
      <w:bookmarkStart w:id="565" w:name="_Toc16389"/>
      <w:r>
        <w:rPr>
          <w:rFonts w:hint="eastAsia"/>
          <w:highlight w:val="none"/>
          <w:lang w:val="en-US" w:eastAsia="zh-CN"/>
        </w:rPr>
        <w:t>五、要素联动</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E78B1C8">
      <w:pPr>
        <w:pStyle w:val="4"/>
        <w:bidi w:val="0"/>
        <w:rPr>
          <w:rFonts w:hint="eastAsia"/>
          <w:highlight w:val="none"/>
          <w:lang w:val="en-US" w:eastAsia="zh-CN"/>
        </w:rPr>
      </w:pPr>
      <w:bookmarkStart w:id="566" w:name="_Toc17176"/>
      <w:bookmarkStart w:id="567" w:name="_Toc11082"/>
      <w:bookmarkStart w:id="568" w:name="_Toc989"/>
      <w:bookmarkStart w:id="569" w:name="_Toc713"/>
      <w:bookmarkStart w:id="570" w:name="_Toc14715"/>
      <w:bookmarkStart w:id="571" w:name="_Toc204759812"/>
      <w:bookmarkStart w:id="572" w:name="_Toc8113"/>
      <w:bookmarkStart w:id="573" w:name="_Toc16618"/>
      <w:bookmarkStart w:id="574" w:name="_Toc11848"/>
      <w:bookmarkStart w:id="575" w:name="_Toc27087"/>
      <w:bookmarkStart w:id="576" w:name="_Toc13648"/>
      <w:bookmarkStart w:id="577" w:name="_Toc10583"/>
      <w:bookmarkStart w:id="578" w:name="_Toc2758"/>
      <w:bookmarkStart w:id="579" w:name="_Toc27932"/>
      <w:bookmarkStart w:id="580" w:name="_Toc3564"/>
      <w:bookmarkStart w:id="581" w:name="_Toc2023"/>
      <w:bookmarkStart w:id="582" w:name="_Toc10270"/>
      <w:bookmarkStart w:id="583" w:name="_Toc15796"/>
      <w:bookmarkStart w:id="584" w:name="_Toc20415"/>
      <w:bookmarkStart w:id="585" w:name="_Toc309"/>
      <w:bookmarkStart w:id="586" w:name="_Toc20988"/>
      <w:bookmarkStart w:id="587" w:name="_Toc27782"/>
      <w:bookmarkStart w:id="588" w:name="_Toc24602"/>
      <w:bookmarkStart w:id="589" w:name="_Toc16624"/>
      <w:r>
        <w:rPr>
          <w:rFonts w:hint="eastAsia"/>
          <w:highlight w:val="none"/>
          <w:lang w:val="en-US" w:eastAsia="zh-CN"/>
        </w:rPr>
        <w:t>（一）以人定房，构建供需平衡的住房供应体系</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98D088E">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b w:val="0"/>
          <w:bCs w:val="0"/>
          <w:sz w:val="32"/>
          <w:szCs w:val="32"/>
          <w:highlight w:val="none"/>
        </w:rPr>
        <w:t>建立供需动态调节机制。</w:t>
      </w:r>
      <w:r>
        <w:rPr>
          <w:rFonts w:ascii="Times New Roman" w:hAnsi="Times New Roman" w:eastAsia="仿宋_GB2312" w:cs="Times New Roman"/>
          <w:sz w:val="32"/>
          <w:szCs w:val="32"/>
          <w:highlight w:val="none"/>
        </w:rPr>
        <w:t>完善</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市场+保障</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双轨并行的住房供应体系，依据住房需求与人口变化情况，建立动态调节机制。</w:t>
      </w:r>
      <w:r>
        <w:rPr>
          <w:rFonts w:hint="eastAsia" w:cs="Times New Roman"/>
          <w:sz w:val="32"/>
          <w:szCs w:val="32"/>
          <w:highlight w:val="none"/>
          <w:lang w:val="en-US" w:eastAsia="zh-CN"/>
        </w:rPr>
        <w:t>根据存量人口、“十五五”期间新增人口计算住房需求，结合库存情况合理确定规划目标。</w:t>
      </w:r>
      <w:r>
        <w:rPr>
          <w:rFonts w:ascii="Times New Roman" w:hAnsi="Times New Roman" w:eastAsia="仿宋_GB2312" w:cs="Times New Roman"/>
          <w:sz w:val="32"/>
          <w:szCs w:val="32"/>
          <w:highlight w:val="none"/>
        </w:rPr>
        <w:t>坚持</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以需定供</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，科学合理配置保障性住房与市场化房源、住宅与非住宅的供应比例</w:t>
      </w:r>
      <w:r>
        <w:rPr>
          <w:rFonts w:hint="eastAsia" w:ascii="Times New Roman" w:hAnsi="Times New Roman" w:eastAsia="仿宋_GB2312" w:cs="Times New Roman"/>
          <w:sz w:val="32"/>
          <w:szCs w:val="32"/>
          <w:highlight w:val="none"/>
        </w:rPr>
        <w:t>，延伸改善性住房产品供应梯度</w:t>
      </w:r>
      <w:r>
        <w:rPr>
          <w:rFonts w:hint="eastAsia" w:cs="Times New Roman"/>
          <w:sz w:val="32"/>
          <w:szCs w:val="32"/>
          <w:highlight w:val="none"/>
          <w:lang w:eastAsia="zh-CN"/>
        </w:rPr>
        <w:t>。</w:t>
      </w:r>
    </w:p>
    <w:p w14:paraId="667EB407">
      <w:pPr>
        <w:pStyle w:val="4"/>
        <w:bidi w:val="0"/>
        <w:rPr>
          <w:rFonts w:hint="eastAsia"/>
          <w:highlight w:val="none"/>
          <w:lang w:val="en-US" w:eastAsia="zh-CN"/>
        </w:rPr>
      </w:pPr>
      <w:bookmarkStart w:id="590" w:name="_Toc17695"/>
      <w:bookmarkStart w:id="591" w:name="_Toc10564"/>
      <w:bookmarkStart w:id="592" w:name="_Toc22000"/>
      <w:bookmarkStart w:id="593" w:name="_Toc24446"/>
      <w:bookmarkStart w:id="594" w:name="_Toc6231"/>
      <w:bookmarkStart w:id="595" w:name="_Toc26421"/>
      <w:bookmarkStart w:id="596" w:name="_Toc11289"/>
      <w:bookmarkStart w:id="597" w:name="_Toc31698"/>
      <w:bookmarkStart w:id="598" w:name="_Toc25875"/>
      <w:bookmarkStart w:id="599" w:name="_Toc31907"/>
      <w:bookmarkStart w:id="600" w:name="_Toc19763"/>
      <w:bookmarkStart w:id="601" w:name="_Toc14414"/>
      <w:bookmarkStart w:id="602" w:name="_Toc204759813"/>
      <w:bookmarkStart w:id="603" w:name="_Toc29706"/>
      <w:bookmarkStart w:id="604" w:name="_Toc29713"/>
      <w:bookmarkStart w:id="605" w:name="_Toc1208"/>
      <w:bookmarkStart w:id="606" w:name="_Toc31659"/>
      <w:bookmarkStart w:id="607" w:name="_Toc23215"/>
      <w:bookmarkStart w:id="608" w:name="_Toc16165"/>
      <w:bookmarkStart w:id="609" w:name="_Toc2548"/>
      <w:bookmarkStart w:id="610" w:name="_Toc5728"/>
      <w:bookmarkStart w:id="611" w:name="_Toc31116"/>
      <w:bookmarkStart w:id="612" w:name="_Toc31608"/>
      <w:bookmarkStart w:id="613" w:name="_Toc13343"/>
      <w:r>
        <w:rPr>
          <w:rFonts w:hint="eastAsia"/>
          <w:highlight w:val="none"/>
          <w:lang w:val="en-US" w:eastAsia="zh-CN"/>
        </w:rPr>
        <w:t>（二）以房定地，实施精准高效的土地供应管理</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1F15D93">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结合经济社会发展和住房发展需求，依据住房发展规划和年度计划，各县（市、区）政府、市自然资源部门联合住房和城乡建设部门制定年度建设用地供应计划，合理控制增量，优化调整存量。健全地价与房价的联动调节机制，科学设定地价水平，激发企业提升产品品质和创</w:t>
      </w:r>
      <w:r>
        <w:rPr>
          <w:rFonts w:hint="eastAsia" w:cs="Times New Roman"/>
          <w:sz w:val="32"/>
          <w:szCs w:val="32"/>
          <w:highlight w:val="none"/>
          <w:lang w:eastAsia="zh-CN"/>
        </w:rPr>
        <w:t>新能</w:t>
      </w:r>
      <w:r>
        <w:rPr>
          <w:rFonts w:hint="eastAsia" w:ascii="Times New Roman" w:hAnsi="Times New Roman" w:eastAsia="仿宋_GB2312" w:cs="Times New Roman"/>
          <w:sz w:val="32"/>
          <w:szCs w:val="32"/>
          <w:highlight w:val="none"/>
        </w:rPr>
        <w:t>力的积极性，引导市场良性循环发展。</w:t>
      </w:r>
    </w:p>
    <w:p w14:paraId="03EFC888">
      <w:pPr>
        <w:spacing w:line="600" w:lineRule="exact"/>
        <w:ind w:firstLine="640"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保障性住房用地供应坚持</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以需定建</w:t>
      </w:r>
      <w:r>
        <w:rPr>
          <w:rFonts w:hint="eastAsia" w:cs="Times New Roman"/>
          <w:sz w:val="32"/>
          <w:szCs w:val="32"/>
          <w:highlight w:val="none"/>
          <w:lang w:eastAsia="zh-CN"/>
        </w:rPr>
        <w:t>”</w:t>
      </w:r>
      <w:r>
        <w:rPr>
          <w:rFonts w:ascii="Times New Roman" w:hAnsi="Times New Roman" w:eastAsia="仿宋_GB2312" w:cs="Times New Roman"/>
          <w:sz w:val="32"/>
          <w:szCs w:val="32"/>
          <w:highlight w:val="none"/>
        </w:rPr>
        <w:t>，提前做好用地储备，优先选址于公共交通便利、配套设施较为齐全的区域</w:t>
      </w:r>
      <w:r>
        <w:rPr>
          <w:rFonts w:hint="eastAsia" w:ascii="Times New Roman" w:hAnsi="Times New Roman" w:eastAsia="仿宋_GB2312" w:cs="Times New Roman"/>
          <w:sz w:val="32"/>
          <w:szCs w:val="32"/>
          <w:highlight w:val="none"/>
        </w:rPr>
        <w:t>，避免因交通不便造成的房源闲置。</w:t>
      </w:r>
    </w:p>
    <w:p w14:paraId="20ECC9B2">
      <w:pPr>
        <w:pStyle w:val="4"/>
        <w:bidi w:val="0"/>
        <w:rPr>
          <w:rFonts w:hint="eastAsia"/>
          <w:highlight w:val="none"/>
          <w:lang w:val="en-US" w:eastAsia="zh-CN"/>
        </w:rPr>
      </w:pPr>
      <w:bookmarkStart w:id="614" w:name="_Toc7428"/>
      <w:bookmarkStart w:id="615" w:name="_Toc19447"/>
      <w:bookmarkStart w:id="616" w:name="_Toc28319"/>
      <w:bookmarkStart w:id="617" w:name="_Toc10783"/>
      <w:bookmarkStart w:id="618" w:name="_Toc13286"/>
      <w:bookmarkStart w:id="619" w:name="_Toc4779"/>
      <w:bookmarkStart w:id="620" w:name="_Toc16833"/>
      <w:bookmarkStart w:id="621" w:name="_Toc19577"/>
      <w:bookmarkStart w:id="622" w:name="_Toc22303"/>
      <w:bookmarkStart w:id="623" w:name="_Toc13907"/>
      <w:bookmarkStart w:id="624" w:name="_Toc204759814"/>
      <w:bookmarkStart w:id="625" w:name="_Toc19508"/>
      <w:bookmarkStart w:id="626" w:name="_Toc8934"/>
      <w:bookmarkStart w:id="627" w:name="_Toc26457"/>
      <w:bookmarkStart w:id="628" w:name="_Toc18643"/>
      <w:bookmarkStart w:id="629" w:name="_Toc14942"/>
      <w:bookmarkStart w:id="630" w:name="_Toc1880"/>
      <w:bookmarkStart w:id="631" w:name="_Toc4650"/>
      <w:bookmarkStart w:id="632" w:name="_Toc15779"/>
      <w:bookmarkStart w:id="633" w:name="_Toc19791"/>
      <w:bookmarkStart w:id="634" w:name="_Toc23636"/>
      <w:bookmarkStart w:id="635" w:name="_Toc22148"/>
      <w:bookmarkStart w:id="636" w:name="_Toc19522"/>
      <w:bookmarkStart w:id="637" w:name="_Toc30578"/>
      <w:r>
        <w:rPr>
          <w:rFonts w:hint="eastAsia"/>
          <w:highlight w:val="none"/>
          <w:lang w:val="en-US" w:eastAsia="zh-CN"/>
        </w:rPr>
        <w:t>（三）以房定钱，优化房地产融资与资金监管机制</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6CE6F9F">
      <w:pPr>
        <w:bidi w:val="0"/>
        <w:rPr>
          <w:rFonts w:ascii="Times New Roman" w:hAnsi="Times New Roman"/>
          <w:highlight w:val="none"/>
        </w:rPr>
      </w:pPr>
      <w:r>
        <w:rPr>
          <w:rFonts w:ascii="Times New Roman" w:hAnsi="Times New Roman"/>
          <w:highlight w:val="none"/>
        </w:rPr>
        <w:t>改革完善房地产融资制度。加强政策性住房融资体系建设，运用中央银行政策工具支持保障性住房供给。加快住房公积金制度改革。健全政策性住房金融体系。大力发展房地产开发项目融资模式，推动实现房地产开发企业融资从依赖主体信用向基于项目情况转变。强化住房资金有效供应和高效监管。</w:t>
      </w:r>
    </w:p>
    <w:p w14:paraId="6C494D60">
      <w:pPr>
        <w:bidi w:val="0"/>
        <w:rPr>
          <w:rFonts w:ascii="Times New Roman" w:hAnsi="Times New Roman"/>
          <w:highlight w:val="none"/>
        </w:rPr>
      </w:pPr>
      <w:r>
        <w:rPr>
          <w:rFonts w:ascii="Times New Roman" w:hAnsi="Times New Roman"/>
          <w:highlight w:val="none"/>
        </w:rPr>
        <w:t>保障有效融资供应。引导金融机构根据住房发展年度计划合理控制融资规模。</w:t>
      </w:r>
      <w:r>
        <w:rPr>
          <w:rFonts w:hint="eastAsia" w:ascii="Times New Roman" w:hAnsi="Times New Roman"/>
          <w:highlight w:val="none"/>
        </w:rPr>
        <w:t>健全房地产项目“白名单”常态化运行机制，明确“白名单”筛选标准、动态调整流程及部门协同管理模式，推动城市房地产融资协调机制持续扩围增效，将所有合规房地产项目纳入管理，落实“应进尽进、应贷尽贷”原则，平等支持不同所有制房地产开发企业合理融资需求，适度下放审批权限、提高审批和放款效率，确保资金及时投放至项目监管账户。拓展信贷、债券、股权等多元化、标准化的融资渠道，给予房地产开发企业合理融资选择空间，降低经营成本。同时，探索REITs等金融工具在盘活存量住房中的应用，重点聚焦保障性租赁住房、存量商品房等优质资产，借鉴成熟地区实践经验，构建“开发—运营—退出—再投资”的良性资本循环，推动存量住房资源优化配置，提升资产利用效率与融资可持续性</w:t>
      </w:r>
      <w:r>
        <w:rPr>
          <w:rFonts w:ascii="Times New Roman" w:hAnsi="Times New Roman"/>
          <w:highlight w:val="none"/>
        </w:rPr>
        <w:t>。</w:t>
      </w:r>
    </w:p>
    <w:p w14:paraId="1AF5DEC5">
      <w:pPr>
        <w:bidi w:val="0"/>
        <w:rPr>
          <w:rFonts w:ascii="Times New Roman" w:hAnsi="Times New Roman"/>
          <w:highlight w:val="none"/>
        </w:rPr>
      </w:pPr>
      <w:r>
        <w:rPr>
          <w:rFonts w:ascii="Times New Roman" w:hAnsi="Times New Roman"/>
          <w:highlight w:val="none"/>
        </w:rPr>
        <w:t>强化高效资金监管。动态监测房地产开发企业融资规模，对盲目举债和高负债经营的房地产开发企业及时预警；加强预售资金监管，保障购房者合法权益；结合本地项目开发建设实际，科学设定预售资金拨付节点和比例，优化提取使用流程，提升预售资金使用效率。</w:t>
      </w:r>
    </w:p>
    <w:p w14:paraId="7BF608E7">
      <w:pPr>
        <w:pStyle w:val="3"/>
        <w:bidi w:val="0"/>
        <w:rPr>
          <w:rFonts w:hint="eastAsia"/>
          <w:highlight w:val="none"/>
          <w:lang w:val="en-US" w:eastAsia="zh-CN"/>
        </w:rPr>
      </w:pPr>
      <w:bookmarkStart w:id="638" w:name="_Toc11825"/>
      <w:bookmarkStart w:id="639" w:name="_Toc12663"/>
      <w:bookmarkStart w:id="640" w:name="_Toc14448"/>
      <w:bookmarkStart w:id="641" w:name="_Toc16415"/>
      <w:bookmarkStart w:id="642" w:name="_Toc22823"/>
      <w:bookmarkStart w:id="643" w:name="_Toc25794"/>
      <w:bookmarkStart w:id="644" w:name="_Toc3819"/>
      <w:bookmarkStart w:id="645" w:name="_Toc26690"/>
      <w:bookmarkStart w:id="646" w:name="_Toc9323"/>
      <w:bookmarkStart w:id="647" w:name="_Toc2759"/>
      <w:bookmarkStart w:id="648" w:name="_Toc28291"/>
      <w:bookmarkStart w:id="649" w:name="_Toc9193"/>
      <w:bookmarkStart w:id="650" w:name="_Toc27442"/>
      <w:bookmarkStart w:id="651" w:name="_Toc13398"/>
      <w:bookmarkStart w:id="652" w:name="_Toc19363"/>
      <w:bookmarkStart w:id="653" w:name="_Toc18139"/>
      <w:bookmarkStart w:id="654" w:name="_Toc3480"/>
      <w:bookmarkStart w:id="655" w:name="_Toc10504"/>
      <w:bookmarkStart w:id="656" w:name="_Toc639"/>
      <w:bookmarkStart w:id="657" w:name="_Toc20390"/>
      <w:bookmarkStart w:id="658" w:name="_Toc6855"/>
      <w:r>
        <w:rPr>
          <w:rFonts w:hint="eastAsia"/>
          <w:highlight w:val="none"/>
          <w:lang w:val="en-US" w:eastAsia="zh-CN"/>
        </w:rPr>
        <w:t>六、保障措施</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4B2F529">
      <w:pPr>
        <w:pStyle w:val="4"/>
        <w:bidi w:val="0"/>
        <w:rPr>
          <w:rFonts w:hint="default"/>
          <w:highlight w:val="none"/>
          <w:lang w:val="en-US" w:eastAsia="zh-CN"/>
        </w:rPr>
      </w:pPr>
      <w:bookmarkStart w:id="659" w:name="_Toc3166"/>
      <w:bookmarkStart w:id="660" w:name="_Toc28653"/>
      <w:bookmarkStart w:id="661" w:name="_Toc29939"/>
      <w:bookmarkStart w:id="662" w:name="_Toc22711"/>
      <w:bookmarkStart w:id="663" w:name="_Toc26694"/>
      <w:bookmarkStart w:id="664" w:name="_Toc26779"/>
      <w:bookmarkStart w:id="665" w:name="_Toc4521"/>
      <w:bookmarkStart w:id="666" w:name="_Toc13904"/>
      <w:bookmarkStart w:id="667" w:name="_Toc29912"/>
      <w:bookmarkStart w:id="668" w:name="_Toc27179"/>
      <w:bookmarkStart w:id="669" w:name="_Toc29391"/>
      <w:bookmarkStart w:id="670" w:name="_Toc29075"/>
      <w:bookmarkStart w:id="671" w:name="_Toc6613"/>
      <w:bookmarkStart w:id="672" w:name="_Toc31125"/>
      <w:bookmarkStart w:id="673" w:name="_Toc31106"/>
      <w:bookmarkStart w:id="674" w:name="_Toc12371"/>
      <w:bookmarkStart w:id="675" w:name="_Toc24609"/>
      <w:bookmarkStart w:id="676" w:name="_Toc31142"/>
      <w:bookmarkStart w:id="677" w:name="_Toc9448"/>
      <w:bookmarkStart w:id="678" w:name="_Toc2277"/>
      <w:bookmarkStart w:id="679" w:name="_Toc23819"/>
      <w:r>
        <w:rPr>
          <w:rFonts w:hint="eastAsia"/>
          <w:highlight w:val="none"/>
          <w:lang w:val="en-US" w:eastAsia="zh-CN"/>
        </w:rPr>
        <w:t>（一）</w:t>
      </w:r>
      <w:r>
        <w:rPr>
          <w:rFonts w:hint="default"/>
          <w:highlight w:val="none"/>
          <w:lang w:val="en-US" w:eastAsia="zh-CN"/>
        </w:rPr>
        <w:t>加强组织领导，压紧压实主体责任</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047D898">
      <w:pPr>
        <w:bidi w:val="0"/>
        <w:rPr>
          <w:rFonts w:hint="default" w:ascii="Times New Roman" w:hAnsi="Times New Roman"/>
          <w:highlight w:val="none"/>
          <w:lang w:val="en-US" w:eastAsia="zh-CN"/>
        </w:rPr>
      </w:pPr>
      <w:r>
        <w:rPr>
          <w:rFonts w:hint="default" w:ascii="Times New Roman" w:hAnsi="Times New Roman"/>
          <w:highlight w:val="none"/>
          <w:lang w:val="en-US" w:eastAsia="zh-CN"/>
        </w:rPr>
        <w:t>建立</w:t>
      </w:r>
      <w:r>
        <w:rPr>
          <w:rFonts w:hint="eastAsia" w:ascii="Times New Roman" w:hAnsi="Times New Roman"/>
          <w:highlight w:val="none"/>
          <w:lang w:val="en-US" w:eastAsia="zh-CN"/>
        </w:rPr>
        <w:t>市级</w:t>
      </w:r>
      <w:r>
        <w:rPr>
          <w:rFonts w:hint="default" w:ascii="Times New Roman" w:hAnsi="Times New Roman"/>
          <w:highlight w:val="none"/>
          <w:lang w:val="en-US" w:eastAsia="zh-CN"/>
        </w:rPr>
        <w:t>党委和政府指导监督、县（市、区）党委和政府组织落实的责任机制，夯实各级主体责任，充分发挥在房地产市场调控和住房高质量发展中的统筹作用。各县（市、区）党委和政府以及相关部门要切实把思想和行动统一到中央、省委、省政府和市委、市政府的决策部署上来，站在全市发展全局的高度，把促进房地产市场平稳健康发展摆在更加突出的位置。要进一步增强大局意识、服务意识和忧患意识，切实扛起属地责任，加强组织领导和统筹协调，狠抓工作落实，做到有人抓、有人管，全力以赴推动各项任务落地落实，确保住房发展目标顺利实现。</w:t>
      </w:r>
    </w:p>
    <w:p w14:paraId="7BFFB68C">
      <w:pPr>
        <w:pStyle w:val="4"/>
        <w:bidi w:val="0"/>
        <w:rPr>
          <w:rFonts w:hint="default"/>
          <w:highlight w:val="none"/>
          <w:lang w:val="en-US" w:eastAsia="zh-CN"/>
        </w:rPr>
      </w:pPr>
      <w:bookmarkStart w:id="680" w:name="_Toc8171"/>
      <w:bookmarkStart w:id="681" w:name="_Toc18836"/>
      <w:bookmarkStart w:id="682" w:name="_Toc15812"/>
      <w:bookmarkStart w:id="683" w:name="_Toc9980"/>
      <w:bookmarkStart w:id="684" w:name="_Toc10701"/>
      <w:bookmarkStart w:id="685" w:name="_Toc1881"/>
      <w:bookmarkStart w:id="686" w:name="_Toc18419"/>
      <w:bookmarkStart w:id="687" w:name="_Toc23459"/>
      <w:bookmarkStart w:id="688" w:name="_Toc9849"/>
      <w:bookmarkStart w:id="689" w:name="_Toc23694"/>
      <w:bookmarkStart w:id="690" w:name="_Toc9023"/>
      <w:bookmarkStart w:id="691" w:name="_Toc22735"/>
      <w:bookmarkStart w:id="692" w:name="_Toc181"/>
      <w:bookmarkStart w:id="693" w:name="_Toc18169"/>
      <w:bookmarkStart w:id="694" w:name="_Toc5744"/>
      <w:bookmarkStart w:id="695" w:name="_Toc16874"/>
      <w:bookmarkStart w:id="696" w:name="_Toc23280"/>
      <w:bookmarkStart w:id="697" w:name="_Toc28164"/>
      <w:bookmarkStart w:id="698" w:name="_Toc32610"/>
      <w:bookmarkStart w:id="699" w:name="_Toc25811"/>
      <w:bookmarkStart w:id="700" w:name="_Toc29928"/>
      <w:r>
        <w:rPr>
          <w:rFonts w:hint="eastAsia"/>
          <w:highlight w:val="none"/>
          <w:lang w:val="en-US" w:eastAsia="zh-CN"/>
        </w:rPr>
        <w:t>（二）</w:t>
      </w:r>
      <w:r>
        <w:rPr>
          <w:rFonts w:hint="default"/>
          <w:highlight w:val="none"/>
          <w:lang w:val="en-US" w:eastAsia="zh-CN"/>
        </w:rPr>
        <w:t>编制年度计划，有序推动规划实施</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587B682E">
      <w:pPr>
        <w:bidi w:val="0"/>
        <w:rPr>
          <w:highlight w:val="none"/>
        </w:rPr>
      </w:pPr>
      <w:r>
        <w:rPr>
          <w:rFonts w:hint="eastAsia"/>
          <w:highlight w:val="none"/>
        </w:rPr>
        <w:t>围绕住房发展规划确定的目标任务，结合经济社会发展实际，科学编制住房发展年度计划，合理确定各类住房的年度建设目标等具体要求。指导并支持各县（市、区）编制符合本地实际的住房发展规划及年度计划，确保市级规划目标逐级落实。</w:t>
      </w:r>
    </w:p>
    <w:p w14:paraId="50664044">
      <w:pPr>
        <w:pStyle w:val="4"/>
        <w:bidi w:val="0"/>
        <w:rPr>
          <w:rFonts w:hint="default"/>
          <w:highlight w:val="none"/>
          <w:lang w:val="en-US" w:eastAsia="zh-CN"/>
        </w:rPr>
      </w:pPr>
      <w:bookmarkStart w:id="701" w:name="_Toc7924"/>
      <w:bookmarkStart w:id="702" w:name="_Toc20250"/>
      <w:bookmarkStart w:id="703" w:name="_Toc7795"/>
      <w:bookmarkStart w:id="704" w:name="_Toc6961"/>
      <w:bookmarkStart w:id="705" w:name="_Toc30735"/>
      <w:bookmarkStart w:id="706" w:name="_Toc22691"/>
      <w:bookmarkStart w:id="707" w:name="_Toc25807"/>
      <w:bookmarkStart w:id="708" w:name="_Toc12396"/>
      <w:bookmarkStart w:id="709" w:name="_Toc1002"/>
      <w:bookmarkStart w:id="710" w:name="_Toc18686"/>
      <w:bookmarkStart w:id="711" w:name="_Toc29456"/>
      <w:bookmarkStart w:id="712" w:name="_Toc29554"/>
      <w:bookmarkStart w:id="713" w:name="_Toc22199"/>
      <w:bookmarkStart w:id="714" w:name="_Toc9776"/>
      <w:bookmarkStart w:id="715" w:name="_Toc4090"/>
      <w:bookmarkStart w:id="716" w:name="_Toc31679"/>
      <w:bookmarkStart w:id="717" w:name="_Toc7729"/>
      <w:bookmarkStart w:id="718" w:name="_Toc27261"/>
      <w:bookmarkStart w:id="719" w:name="_Toc28205"/>
      <w:bookmarkStart w:id="720" w:name="_Toc1075"/>
      <w:bookmarkStart w:id="721" w:name="_Toc9989"/>
      <w:r>
        <w:rPr>
          <w:rFonts w:hint="eastAsia"/>
          <w:highlight w:val="none"/>
          <w:lang w:val="en-US" w:eastAsia="zh-CN"/>
        </w:rPr>
        <w:t>（三）</w:t>
      </w:r>
      <w:r>
        <w:rPr>
          <w:rFonts w:hint="default"/>
          <w:highlight w:val="none"/>
          <w:lang w:val="en-US" w:eastAsia="zh-CN"/>
        </w:rPr>
        <w:t>开展中期评估，全面评估实施进度</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0FB81829">
      <w:pPr>
        <w:widowControl/>
        <w:spacing w:line="600" w:lineRule="exact"/>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rPr>
        <w:t>市住房和城乡建设局牵头</w:t>
      </w:r>
      <w:r>
        <w:rPr>
          <w:rFonts w:hint="eastAsia" w:ascii="Times New Roman" w:hAnsi="Times New Roman" w:cs="Times New Roman"/>
          <w:sz w:val="32"/>
          <w:szCs w:val="36"/>
          <w:highlight w:val="none"/>
          <w:lang w:val="en-US" w:eastAsia="zh-CN"/>
        </w:rPr>
        <w:t>开展</w:t>
      </w:r>
      <w:r>
        <w:rPr>
          <w:rFonts w:hint="eastAsia" w:ascii="Times New Roman" w:hAnsi="Times New Roman" w:eastAsia="仿宋_GB2312" w:cs="Times New Roman"/>
          <w:sz w:val="32"/>
          <w:szCs w:val="36"/>
          <w:highlight w:val="none"/>
        </w:rPr>
        <w:t>规划中期</w:t>
      </w:r>
      <w:r>
        <w:rPr>
          <w:rFonts w:hint="eastAsia" w:ascii="Times New Roman" w:hAnsi="Times New Roman" w:cs="Times New Roman"/>
          <w:sz w:val="32"/>
          <w:szCs w:val="36"/>
          <w:highlight w:val="none"/>
          <w:lang w:val="en-US" w:eastAsia="zh-CN"/>
        </w:rPr>
        <w:t>评估，</w:t>
      </w:r>
      <w:r>
        <w:rPr>
          <w:rFonts w:hint="eastAsia" w:ascii="Times New Roman" w:hAnsi="Times New Roman" w:eastAsia="仿宋_GB2312" w:cs="Times New Roman"/>
          <w:sz w:val="32"/>
          <w:szCs w:val="36"/>
          <w:highlight w:val="none"/>
        </w:rPr>
        <w:t>依据评估结果，结合住房发展新形势、新问题，及时优化调整规划任务和工作重点，确保规划符合</w:t>
      </w:r>
      <w:r>
        <w:rPr>
          <w:rFonts w:hint="eastAsia" w:ascii="Times New Roman" w:hAnsi="Times New Roman" w:cs="Times New Roman"/>
          <w:sz w:val="32"/>
          <w:szCs w:val="36"/>
          <w:highlight w:val="none"/>
          <w:lang w:val="en-US" w:eastAsia="zh-CN"/>
        </w:rPr>
        <w:t>南阳</w:t>
      </w:r>
      <w:r>
        <w:rPr>
          <w:rFonts w:hint="eastAsia" w:ascii="Times New Roman" w:hAnsi="Times New Roman" w:eastAsia="仿宋_GB2312" w:cs="Times New Roman"/>
          <w:sz w:val="32"/>
          <w:szCs w:val="36"/>
          <w:highlight w:val="none"/>
        </w:rPr>
        <w:t>市实际。各县（市、区）人民政府及市级相关部门需及时解决规划实施中的问题，保障规划目标实现。</w:t>
      </w:r>
    </w:p>
    <w:p w14:paraId="5F0CC570">
      <w:pPr>
        <w:pStyle w:val="4"/>
        <w:bidi w:val="0"/>
        <w:rPr>
          <w:rFonts w:hint="default"/>
          <w:highlight w:val="none"/>
          <w:lang w:val="en-US" w:eastAsia="zh-CN"/>
        </w:rPr>
      </w:pPr>
      <w:bookmarkStart w:id="722" w:name="_Toc23143"/>
      <w:bookmarkStart w:id="723" w:name="_Toc14622"/>
      <w:bookmarkStart w:id="724" w:name="_Toc8548"/>
      <w:bookmarkStart w:id="725" w:name="_Toc27929"/>
      <w:bookmarkStart w:id="726" w:name="_Toc28737"/>
      <w:bookmarkStart w:id="727" w:name="_Toc27952"/>
      <w:bookmarkStart w:id="728" w:name="_Toc712"/>
      <w:bookmarkStart w:id="729" w:name="_Toc17848"/>
      <w:bookmarkStart w:id="730" w:name="_Toc14188"/>
      <w:bookmarkStart w:id="731" w:name="_Toc3130"/>
      <w:bookmarkStart w:id="732" w:name="_Toc2206"/>
      <w:bookmarkStart w:id="733" w:name="_Toc10190"/>
      <w:bookmarkStart w:id="734" w:name="_Toc22243"/>
      <w:bookmarkStart w:id="735" w:name="_Toc15905"/>
      <w:bookmarkStart w:id="736" w:name="_Toc21768"/>
      <w:bookmarkStart w:id="737" w:name="_Toc11253"/>
      <w:bookmarkStart w:id="738" w:name="_Toc29181"/>
      <w:bookmarkStart w:id="739" w:name="_Toc9279"/>
      <w:bookmarkStart w:id="740" w:name="_Toc13892"/>
      <w:bookmarkStart w:id="741" w:name="_Toc28168"/>
      <w:bookmarkStart w:id="742" w:name="_Toc8836"/>
      <w:r>
        <w:rPr>
          <w:rFonts w:hint="eastAsia"/>
          <w:highlight w:val="none"/>
          <w:lang w:val="en-US" w:eastAsia="zh-CN"/>
        </w:rPr>
        <w:t>（四）</w:t>
      </w:r>
      <w:r>
        <w:rPr>
          <w:rFonts w:hint="default"/>
          <w:highlight w:val="none"/>
          <w:lang w:val="en-US" w:eastAsia="zh-CN"/>
        </w:rPr>
        <w:t>加强宣传引导，积极凝聚社会力量</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4B9F0EF7">
      <w:pPr>
        <w:widowControl/>
        <w:spacing w:line="600" w:lineRule="exact"/>
        <w:ind w:firstLine="640" w:firstLineChars="200"/>
      </w:pPr>
      <w:r>
        <w:rPr>
          <w:rFonts w:hint="eastAsia" w:ascii="Times New Roman" w:hAnsi="Times New Roman" w:eastAsia="仿宋_GB2312" w:cs="Times New Roman"/>
          <w:sz w:val="32"/>
          <w:szCs w:val="36"/>
          <w:highlight w:val="none"/>
        </w:rPr>
        <w:t>市住房和城乡建设局牵头做好规划及相关配套政策的宣传解读工作，主动发布权威信息，引导社会预期逐渐向好，营造有利于规划实施的良好氛围。鼓励社会公众参与规划的编制与实施过程，广泛听取民意、汇聚民智。规划实施中，主动征求专家和公众意见，定期向社会公布规划进展。充分发挥相关行业协会作用，强化行业自律，规范市场秩序，共同促进住房事业平稳健康发展</w:t>
      </w:r>
      <w:r>
        <w:rPr>
          <w:rFonts w:hint="eastAsia" w:cs="Times New Roman"/>
          <w:sz w:val="32"/>
          <w:szCs w:val="36"/>
          <w:highlight w:val="none"/>
          <w:lang w:eastAsia="zh-CN"/>
        </w:rPr>
        <w:t>。</w:t>
      </w:r>
    </w:p>
    <w:p w14:paraId="3DD3353B">
      <w:pPr>
        <w:pStyle w:val="2"/>
        <w:ind w:firstLine="0" w:firstLineChars="0"/>
      </w:pPr>
    </w:p>
    <w:sectPr>
      <w:footerReference r:id="rId12" w:type="default"/>
      <w:pgSz w:w="11906" w:h="16838"/>
      <w:pgMar w:top="1440" w:right="1803" w:bottom="1440" w:left="1803" w:header="283" w:footer="113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uosu SIL">
    <w:altName w:val="Yu Gothic UI Semilight"/>
    <w:panose1 w:val="02000000000000000000"/>
    <w:charset w:val="80"/>
    <w:family w:val="auto"/>
    <w:pitch w:val="default"/>
    <w:sig w:usb0="00000000" w:usb1="00000000" w:usb2="00080010" w:usb3="00000000" w:csb0="00020003" w:csb1="00000000"/>
  </w:font>
  <w:font w:name="Yu Gothic UI Semilight">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BFAA">
    <w:pPr>
      <w:keepLines w:val="0"/>
      <w:tabs>
        <w:tab w:val="center" w:pos="4153"/>
        <w:tab w:val="right" w:pos="8306"/>
      </w:tabs>
      <w:snapToGrid w:val="0"/>
      <w:spacing w:line="360" w:lineRule="auto"/>
      <w:ind w:left="640" w:firstLine="360"/>
      <w:jc w:val="center"/>
      <w:rPr>
        <w:rFonts w:ascii="Times New Roman" w:hAnsi="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4CFF1">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44CFF1">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57FF">
    <w:pPr>
      <w:keepLines w:val="0"/>
      <w:tabs>
        <w:tab w:val="center" w:pos="4153"/>
        <w:tab w:val="right" w:pos="8306"/>
      </w:tabs>
      <w:snapToGrid w:val="0"/>
      <w:spacing w:line="360" w:lineRule="auto"/>
      <w:ind w:firstLine="360"/>
      <w:jc w:val="left"/>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27ED">
    <w:pPr>
      <w:keepLines w:val="0"/>
      <w:tabs>
        <w:tab w:val="center" w:pos="4153"/>
        <w:tab w:val="right" w:pos="8306"/>
      </w:tabs>
      <w:snapToGrid w:val="0"/>
      <w:spacing w:line="360" w:lineRule="auto"/>
      <w:ind w:firstLine="360"/>
      <w:jc w:val="left"/>
      <w:rPr>
        <w:rFonts w:ascii="Times New Roman" w:hAnsi="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6D24">
    <w:pPr>
      <w:keepLines w:val="0"/>
      <w:tabs>
        <w:tab w:val="center" w:pos="4153"/>
        <w:tab w:val="right" w:pos="8306"/>
      </w:tabs>
      <w:snapToGrid w:val="0"/>
      <w:spacing w:line="360" w:lineRule="auto"/>
      <w:ind w:left="640" w:firstLine="360"/>
      <w:jc w:val="center"/>
      <w:rPr>
        <w:rFonts w:ascii="Times New Roman" w:hAnsi="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49723">
                          <w:pPr>
                            <w:pStyle w:val="13"/>
                            <w:ind w:firstLine="0" w:firstLineChars="0"/>
                            <w:jc w:val="center"/>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3D49723">
                    <w:pPr>
                      <w:pStyle w:val="13"/>
                      <w:ind w:firstLine="0" w:firstLineChars="0"/>
                      <w:jc w:val="center"/>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B1A4">
    <w:pPr>
      <w:keepLines w:val="0"/>
      <w:tabs>
        <w:tab w:val="center" w:pos="4153"/>
        <w:tab w:val="right" w:pos="8306"/>
      </w:tabs>
      <w:snapToGrid w:val="0"/>
      <w:spacing w:line="360" w:lineRule="auto"/>
      <w:ind w:left="640" w:firstLine="360"/>
      <w:jc w:val="center"/>
      <w:rPr>
        <w:rFonts w:ascii="Times New Roman" w:hAnsi="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9054">
                          <w:pPr>
                            <w:pStyle w:val="13"/>
                            <w:ind w:firstLine="0" w:firstLineChars="0"/>
                            <w:jc w:val="center"/>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0379054">
                    <w:pPr>
                      <w:pStyle w:val="13"/>
                      <w:ind w:firstLine="0" w:firstLineChars="0"/>
                      <w:jc w:val="center"/>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2</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1235">
    <w:pPr>
      <w:keepLines w:val="0"/>
      <w:tabs>
        <w:tab w:val="center" w:pos="4153"/>
        <w:tab w:val="right" w:pos="8306"/>
      </w:tabs>
      <w:snapToGrid w:val="0"/>
      <w:spacing w:line="360" w:lineRule="auto"/>
      <w:ind w:firstLine="360"/>
      <w:jc w:val="center"/>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F595">
    <w:pPr>
      <w:keepLines w:val="0"/>
      <w:tabs>
        <w:tab w:val="center" w:pos="4153"/>
        <w:tab w:val="right" w:pos="8306"/>
      </w:tabs>
      <w:snapToGrid w:val="0"/>
      <w:spacing w:line="360" w:lineRule="auto"/>
      <w:ind w:firstLine="360"/>
      <w:jc w:val="center"/>
      <w:rPr>
        <w:rFonts w:ascii="Times New Roman" w:hAnsi="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385C">
    <w:pPr>
      <w:keepLines w:val="0"/>
      <w:tabs>
        <w:tab w:val="center" w:pos="4153"/>
        <w:tab w:val="right" w:pos="8306"/>
      </w:tabs>
      <w:snapToGrid w:val="0"/>
      <w:spacing w:line="360" w:lineRule="auto"/>
      <w:ind w:firstLine="360"/>
      <w:jc w:val="cent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1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1C9E"/>
    <w:rsid w:val="002D269B"/>
    <w:rsid w:val="003F5F2A"/>
    <w:rsid w:val="00B170C8"/>
    <w:rsid w:val="00C860A4"/>
    <w:rsid w:val="00CE075A"/>
    <w:rsid w:val="021C57D4"/>
    <w:rsid w:val="02AB7AB3"/>
    <w:rsid w:val="034725C2"/>
    <w:rsid w:val="036068E4"/>
    <w:rsid w:val="03A91828"/>
    <w:rsid w:val="03B3019C"/>
    <w:rsid w:val="03F46005"/>
    <w:rsid w:val="041A2F36"/>
    <w:rsid w:val="04687FFE"/>
    <w:rsid w:val="04EA39FB"/>
    <w:rsid w:val="05D347D2"/>
    <w:rsid w:val="061C410F"/>
    <w:rsid w:val="061D6D0E"/>
    <w:rsid w:val="063576A3"/>
    <w:rsid w:val="063A1A3A"/>
    <w:rsid w:val="068517DD"/>
    <w:rsid w:val="06B73250"/>
    <w:rsid w:val="07230354"/>
    <w:rsid w:val="077E37DC"/>
    <w:rsid w:val="07957FB1"/>
    <w:rsid w:val="079E7A42"/>
    <w:rsid w:val="0840653D"/>
    <w:rsid w:val="085001AF"/>
    <w:rsid w:val="08C83CF3"/>
    <w:rsid w:val="08CA79E4"/>
    <w:rsid w:val="08D76BDE"/>
    <w:rsid w:val="097F55EA"/>
    <w:rsid w:val="098D41AA"/>
    <w:rsid w:val="09DA2B0B"/>
    <w:rsid w:val="0A115858"/>
    <w:rsid w:val="0AEF054D"/>
    <w:rsid w:val="0B3C0F85"/>
    <w:rsid w:val="0B472137"/>
    <w:rsid w:val="0B5D195B"/>
    <w:rsid w:val="0B745622"/>
    <w:rsid w:val="0C01678A"/>
    <w:rsid w:val="0C0A1AE2"/>
    <w:rsid w:val="0C3C3C66"/>
    <w:rsid w:val="0C5F38DA"/>
    <w:rsid w:val="0C630182"/>
    <w:rsid w:val="0CBB648E"/>
    <w:rsid w:val="0D750EA4"/>
    <w:rsid w:val="0D9B700D"/>
    <w:rsid w:val="0DAD4881"/>
    <w:rsid w:val="0DC343D2"/>
    <w:rsid w:val="0DC77092"/>
    <w:rsid w:val="0E6024E5"/>
    <w:rsid w:val="0EF40828"/>
    <w:rsid w:val="0EFA4965"/>
    <w:rsid w:val="0F112451"/>
    <w:rsid w:val="0F220EF1"/>
    <w:rsid w:val="0F2D6C94"/>
    <w:rsid w:val="0FBC0705"/>
    <w:rsid w:val="0FF24B29"/>
    <w:rsid w:val="0FFD27FB"/>
    <w:rsid w:val="1001144E"/>
    <w:rsid w:val="103E7FAD"/>
    <w:rsid w:val="108D4A90"/>
    <w:rsid w:val="11014843"/>
    <w:rsid w:val="113F5AF4"/>
    <w:rsid w:val="11786AB5"/>
    <w:rsid w:val="125B644D"/>
    <w:rsid w:val="12783DBE"/>
    <w:rsid w:val="12E60488"/>
    <w:rsid w:val="13426006"/>
    <w:rsid w:val="138965F6"/>
    <w:rsid w:val="14294F99"/>
    <w:rsid w:val="14954695"/>
    <w:rsid w:val="14FD6A90"/>
    <w:rsid w:val="15E52C84"/>
    <w:rsid w:val="164E081E"/>
    <w:rsid w:val="166E0165"/>
    <w:rsid w:val="16CF3596"/>
    <w:rsid w:val="171E62CE"/>
    <w:rsid w:val="175C5856"/>
    <w:rsid w:val="177B4428"/>
    <w:rsid w:val="17F32588"/>
    <w:rsid w:val="17F67D2D"/>
    <w:rsid w:val="1800464C"/>
    <w:rsid w:val="18462350"/>
    <w:rsid w:val="18981015"/>
    <w:rsid w:val="18B2778A"/>
    <w:rsid w:val="18DA45EA"/>
    <w:rsid w:val="18F25DD8"/>
    <w:rsid w:val="19355CC5"/>
    <w:rsid w:val="19821A60"/>
    <w:rsid w:val="1984233C"/>
    <w:rsid w:val="19E67D52"/>
    <w:rsid w:val="1A311B3D"/>
    <w:rsid w:val="1A7F337C"/>
    <w:rsid w:val="1B830F69"/>
    <w:rsid w:val="1BCA303C"/>
    <w:rsid w:val="1C0A7976"/>
    <w:rsid w:val="1C947813"/>
    <w:rsid w:val="1CCD7E52"/>
    <w:rsid w:val="1D197F5B"/>
    <w:rsid w:val="1D484219"/>
    <w:rsid w:val="1D754EDA"/>
    <w:rsid w:val="1DBB7A07"/>
    <w:rsid w:val="1DC00253"/>
    <w:rsid w:val="1E187F02"/>
    <w:rsid w:val="1E1F10BF"/>
    <w:rsid w:val="1E935967"/>
    <w:rsid w:val="1EAA2CB1"/>
    <w:rsid w:val="1EE657CF"/>
    <w:rsid w:val="1EF06916"/>
    <w:rsid w:val="1EFD1033"/>
    <w:rsid w:val="1F036242"/>
    <w:rsid w:val="1F0C571A"/>
    <w:rsid w:val="1F325250"/>
    <w:rsid w:val="1FAD3186"/>
    <w:rsid w:val="1FB02549"/>
    <w:rsid w:val="1FE47ADF"/>
    <w:rsid w:val="201105C7"/>
    <w:rsid w:val="201A3FF8"/>
    <w:rsid w:val="207422E6"/>
    <w:rsid w:val="209C3810"/>
    <w:rsid w:val="20AE2DF1"/>
    <w:rsid w:val="20DC79D5"/>
    <w:rsid w:val="20F45D43"/>
    <w:rsid w:val="21394059"/>
    <w:rsid w:val="21893052"/>
    <w:rsid w:val="22B91715"/>
    <w:rsid w:val="22C24A6D"/>
    <w:rsid w:val="231A4CCE"/>
    <w:rsid w:val="234F5247"/>
    <w:rsid w:val="23AD1F6C"/>
    <w:rsid w:val="23C50DBF"/>
    <w:rsid w:val="23D70CD9"/>
    <w:rsid w:val="23F01166"/>
    <w:rsid w:val="25324ECC"/>
    <w:rsid w:val="25B86A53"/>
    <w:rsid w:val="25C95979"/>
    <w:rsid w:val="27240265"/>
    <w:rsid w:val="27457A1B"/>
    <w:rsid w:val="275A1718"/>
    <w:rsid w:val="2767173F"/>
    <w:rsid w:val="277C7661"/>
    <w:rsid w:val="27806CA5"/>
    <w:rsid w:val="27B5694E"/>
    <w:rsid w:val="27DD5EA5"/>
    <w:rsid w:val="280A61CF"/>
    <w:rsid w:val="28463A4A"/>
    <w:rsid w:val="28526FED"/>
    <w:rsid w:val="28921E24"/>
    <w:rsid w:val="29086F52"/>
    <w:rsid w:val="29311825"/>
    <w:rsid w:val="2A506E02"/>
    <w:rsid w:val="2A5341FD"/>
    <w:rsid w:val="2AC06702"/>
    <w:rsid w:val="2C3A399C"/>
    <w:rsid w:val="2D104627"/>
    <w:rsid w:val="2D1C7470"/>
    <w:rsid w:val="2DE2190A"/>
    <w:rsid w:val="2E0D0F83"/>
    <w:rsid w:val="2F942DAD"/>
    <w:rsid w:val="2F9B0769"/>
    <w:rsid w:val="2FE3129F"/>
    <w:rsid w:val="2FE41961"/>
    <w:rsid w:val="302611E4"/>
    <w:rsid w:val="30693118"/>
    <w:rsid w:val="30825EFF"/>
    <w:rsid w:val="308D347C"/>
    <w:rsid w:val="30D270D0"/>
    <w:rsid w:val="30DC27D7"/>
    <w:rsid w:val="31DC6088"/>
    <w:rsid w:val="32024B1C"/>
    <w:rsid w:val="32861F84"/>
    <w:rsid w:val="32EC5D21"/>
    <w:rsid w:val="332277C3"/>
    <w:rsid w:val="334B6818"/>
    <w:rsid w:val="339E384B"/>
    <w:rsid w:val="33C817B8"/>
    <w:rsid w:val="33FC015A"/>
    <w:rsid w:val="33FD3B57"/>
    <w:rsid w:val="34A044E2"/>
    <w:rsid w:val="34E320D5"/>
    <w:rsid w:val="34FD36E3"/>
    <w:rsid w:val="35656BD4"/>
    <w:rsid w:val="35B05FF5"/>
    <w:rsid w:val="35B5211C"/>
    <w:rsid w:val="35BD1469"/>
    <w:rsid w:val="35D22DC1"/>
    <w:rsid w:val="35E26BA9"/>
    <w:rsid w:val="360B7EBA"/>
    <w:rsid w:val="366C347A"/>
    <w:rsid w:val="369E4A52"/>
    <w:rsid w:val="36A37CCB"/>
    <w:rsid w:val="371B1714"/>
    <w:rsid w:val="377C5622"/>
    <w:rsid w:val="37A653B2"/>
    <w:rsid w:val="37B30595"/>
    <w:rsid w:val="37B556B0"/>
    <w:rsid w:val="37DA7D0B"/>
    <w:rsid w:val="37F03444"/>
    <w:rsid w:val="37F92E8A"/>
    <w:rsid w:val="3840109B"/>
    <w:rsid w:val="38432CCD"/>
    <w:rsid w:val="387E3A39"/>
    <w:rsid w:val="3929719C"/>
    <w:rsid w:val="398E0DAD"/>
    <w:rsid w:val="399D7242"/>
    <w:rsid w:val="3A070B96"/>
    <w:rsid w:val="3A282FB0"/>
    <w:rsid w:val="3A2C0CF6"/>
    <w:rsid w:val="3A810912"/>
    <w:rsid w:val="3ACA5867"/>
    <w:rsid w:val="3B1B1F81"/>
    <w:rsid w:val="3B5E2A01"/>
    <w:rsid w:val="3B622213"/>
    <w:rsid w:val="3BBD3BCC"/>
    <w:rsid w:val="3C003C3E"/>
    <w:rsid w:val="3C3A521C"/>
    <w:rsid w:val="3C797AF3"/>
    <w:rsid w:val="3C7C3A87"/>
    <w:rsid w:val="3CAA34DF"/>
    <w:rsid w:val="3CD202E1"/>
    <w:rsid w:val="3CD25455"/>
    <w:rsid w:val="3D063928"/>
    <w:rsid w:val="3D3A68DD"/>
    <w:rsid w:val="3D604BBE"/>
    <w:rsid w:val="3D8616A9"/>
    <w:rsid w:val="3DD3123B"/>
    <w:rsid w:val="3F595C95"/>
    <w:rsid w:val="3F595EAF"/>
    <w:rsid w:val="3F823162"/>
    <w:rsid w:val="3FCD6EA7"/>
    <w:rsid w:val="40093884"/>
    <w:rsid w:val="40896772"/>
    <w:rsid w:val="40C90270"/>
    <w:rsid w:val="40E17579"/>
    <w:rsid w:val="40F23D4B"/>
    <w:rsid w:val="41847F11"/>
    <w:rsid w:val="4185310F"/>
    <w:rsid w:val="41C95079"/>
    <w:rsid w:val="41F451D7"/>
    <w:rsid w:val="42112B8A"/>
    <w:rsid w:val="42466581"/>
    <w:rsid w:val="42586B9E"/>
    <w:rsid w:val="43111C9E"/>
    <w:rsid w:val="43657023"/>
    <w:rsid w:val="43E53CC0"/>
    <w:rsid w:val="44262384"/>
    <w:rsid w:val="4440539A"/>
    <w:rsid w:val="447D65EE"/>
    <w:rsid w:val="44D508BF"/>
    <w:rsid w:val="44F65A35"/>
    <w:rsid w:val="466D31C8"/>
    <w:rsid w:val="46761D34"/>
    <w:rsid w:val="468F5B2C"/>
    <w:rsid w:val="46DD5DCF"/>
    <w:rsid w:val="46E612B8"/>
    <w:rsid w:val="47970A2E"/>
    <w:rsid w:val="47A61905"/>
    <w:rsid w:val="47AC5375"/>
    <w:rsid w:val="47F15329"/>
    <w:rsid w:val="489A776F"/>
    <w:rsid w:val="48C540C0"/>
    <w:rsid w:val="48DA5DBD"/>
    <w:rsid w:val="48DC1E29"/>
    <w:rsid w:val="48E96000"/>
    <w:rsid w:val="493C35A4"/>
    <w:rsid w:val="49EC78D4"/>
    <w:rsid w:val="4A4C6127"/>
    <w:rsid w:val="4AD0284C"/>
    <w:rsid w:val="4B86753E"/>
    <w:rsid w:val="4BEC220B"/>
    <w:rsid w:val="4BF10DC3"/>
    <w:rsid w:val="4C0963E1"/>
    <w:rsid w:val="4C0D6D1A"/>
    <w:rsid w:val="4C4F765E"/>
    <w:rsid w:val="4C8173CF"/>
    <w:rsid w:val="4CFC16F0"/>
    <w:rsid w:val="4D185106"/>
    <w:rsid w:val="4D5455B6"/>
    <w:rsid w:val="4EDE2348"/>
    <w:rsid w:val="4EEE6316"/>
    <w:rsid w:val="4F1831A4"/>
    <w:rsid w:val="4F9111A0"/>
    <w:rsid w:val="4FAE1D52"/>
    <w:rsid w:val="515C7B07"/>
    <w:rsid w:val="51B3364F"/>
    <w:rsid w:val="51FF6844"/>
    <w:rsid w:val="52186699"/>
    <w:rsid w:val="52B02827"/>
    <w:rsid w:val="52DC6BD6"/>
    <w:rsid w:val="53244EF5"/>
    <w:rsid w:val="538259A5"/>
    <w:rsid w:val="54923A62"/>
    <w:rsid w:val="54AF64C7"/>
    <w:rsid w:val="552E79B0"/>
    <w:rsid w:val="55452810"/>
    <w:rsid w:val="56262D09"/>
    <w:rsid w:val="57092FD1"/>
    <w:rsid w:val="57127259"/>
    <w:rsid w:val="57152BEC"/>
    <w:rsid w:val="57172725"/>
    <w:rsid w:val="571C6B19"/>
    <w:rsid w:val="57376AD1"/>
    <w:rsid w:val="57BC467E"/>
    <w:rsid w:val="583E12B7"/>
    <w:rsid w:val="58496ABB"/>
    <w:rsid w:val="589D2963"/>
    <w:rsid w:val="58B101BD"/>
    <w:rsid w:val="58CD3249"/>
    <w:rsid w:val="58D376CA"/>
    <w:rsid w:val="5904591F"/>
    <w:rsid w:val="5988716F"/>
    <w:rsid w:val="598D4786"/>
    <w:rsid w:val="599407C1"/>
    <w:rsid w:val="599E2E37"/>
    <w:rsid w:val="5A105AE3"/>
    <w:rsid w:val="5A1D5658"/>
    <w:rsid w:val="5A511C57"/>
    <w:rsid w:val="5AA54761"/>
    <w:rsid w:val="5AE0479A"/>
    <w:rsid w:val="5B527A35"/>
    <w:rsid w:val="5B6868FF"/>
    <w:rsid w:val="5BB876EC"/>
    <w:rsid w:val="5BC74A40"/>
    <w:rsid w:val="5BF1724E"/>
    <w:rsid w:val="5D0930C3"/>
    <w:rsid w:val="5D767440"/>
    <w:rsid w:val="5D852344"/>
    <w:rsid w:val="5D9E3405"/>
    <w:rsid w:val="5DA640CB"/>
    <w:rsid w:val="5DC761C2"/>
    <w:rsid w:val="5DCA7D57"/>
    <w:rsid w:val="5DFB43B4"/>
    <w:rsid w:val="5E4A21C7"/>
    <w:rsid w:val="5E5D1418"/>
    <w:rsid w:val="5E9C3C19"/>
    <w:rsid w:val="5EAE7D97"/>
    <w:rsid w:val="5ECB4491"/>
    <w:rsid w:val="5ECE7D1A"/>
    <w:rsid w:val="5ECE7F48"/>
    <w:rsid w:val="5EDA164A"/>
    <w:rsid w:val="5EFD2857"/>
    <w:rsid w:val="5EFF1C82"/>
    <w:rsid w:val="5F22250B"/>
    <w:rsid w:val="60C90799"/>
    <w:rsid w:val="61010752"/>
    <w:rsid w:val="6175447D"/>
    <w:rsid w:val="61B551C2"/>
    <w:rsid w:val="61C86CA3"/>
    <w:rsid w:val="62410803"/>
    <w:rsid w:val="62751A14"/>
    <w:rsid w:val="629923ED"/>
    <w:rsid w:val="62CE195F"/>
    <w:rsid w:val="634E249A"/>
    <w:rsid w:val="63B66D1D"/>
    <w:rsid w:val="63CB2054"/>
    <w:rsid w:val="63D775C4"/>
    <w:rsid w:val="63DF50DF"/>
    <w:rsid w:val="650C334B"/>
    <w:rsid w:val="6522491C"/>
    <w:rsid w:val="6531690D"/>
    <w:rsid w:val="657F5B56"/>
    <w:rsid w:val="65C061CA"/>
    <w:rsid w:val="65E93525"/>
    <w:rsid w:val="65F32F48"/>
    <w:rsid w:val="663F32AC"/>
    <w:rsid w:val="66415276"/>
    <w:rsid w:val="66495ED8"/>
    <w:rsid w:val="666A3DED"/>
    <w:rsid w:val="667231D6"/>
    <w:rsid w:val="667F18FA"/>
    <w:rsid w:val="66823B40"/>
    <w:rsid w:val="66967370"/>
    <w:rsid w:val="66EC3434"/>
    <w:rsid w:val="66F46AE5"/>
    <w:rsid w:val="672F1572"/>
    <w:rsid w:val="68586FFC"/>
    <w:rsid w:val="68597F0A"/>
    <w:rsid w:val="68815DFE"/>
    <w:rsid w:val="6882347F"/>
    <w:rsid w:val="69A55B1C"/>
    <w:rsid w:val="69A7509F"/>
    <w:rsid w:val="6A533B14"/>
    <w:rsid w:val="6A58493C"/>
    <w:rsid w:val="6AC63F9C"/>
    <w:rsid w:val="6AE52674"/>
    <w:rsid w:val="6AF40F4B"/>
    <w:rsid w:val="6B3D425E"/>
    <w:rsid w:val="6B6E3551"/>
    <w:rsid w:val="6BAA605B"/>
    <w:rsid w:val="6BB65DBE"/>
    <w:rsid w:val="6BC9676F"/>
    <w:rsid w:val="6BEE5558"/>
    <w:rsid w:val="6C5E271B"/>
    <w:rsid w:val="6CBC29B8"/>
    <w:rsid w:val="6CE150BD"/>
    <w:rsid w:val="6D6F36BE"/>
    <w:rsid w:val="6D8D0448"/>
    <w:rsid w:val="6E0A5973"/>
    <w:rsid w:val="6E58315D"/>
    <w:rsid w:val="6E7D64AA"/>
    <w:rsid w:val="6E7F06E9"/>
    <w:rsid w:val="6EE020C5"/>
    <w:rsid w:val="6F20011E"/>
    <w:rsid w:val="6F343BCA"/>
    <w:rsid w:val="6F516E2F"/>
    <w:rsid w:val="6FB97B0C"/>
    <w:rsid w:val="6FCA1E38"/>
    <w:rsid w:val="6FCA62DC"/>
    <w:rsid w:val="70A2456C"/>
    <w:rsid w:val="71724535"/>
    <w:rsid w:val="718D0958"/>
    <w:rsid w:val="71E75FBD"/>
    <w:rsid w:val="72086C48"/>
    <w:rsid w:val="72131803"/>
    <w:rsid w:val="72262B69"/>
    <w:rsid w:val="72273572"/>
    <w:rsid w:val="72A554CE"/>
    <w:rsid w:val="73046E49"/>
    <w:rsid w:val="731A76E0"/>
    <w:rsid w:val="73656534"/>
    <w:rsid w:val="73AC03CD"/>
    <w:rsid w:val="74267FC5"/>
    <w:rsid w:val="743113E7"/>
    <w:rsid w:val="749D155F"/>
    <w:rsid w:val="74A0760B"/>
    <w:rsid w:val="74D47737"/>
    <w:rsid w:val="75FA6B54"/>
    <w:rsid w:val="766034F6"/>
    <w:rsid w:val="76855CAD"/>
    <w:rsid w:val="773A7C2A"/>
    <w:rsid w:val="775B5A6C"/>
    <w:rsid w:val="77EB5041"/>
    <w:rsid w:val="78911745"/>
    <w:rsid w:val="78BB2C66"/>
    <w:rsid w:val="78D96EE4"/>
    <w:rsid w:val="79393B8B"/>
    <w:rsid w:val="79580E28"/>
    <w:rsid w:val="7A020420"/>
    <w:rsid w:val="7A02245F"/>
    <w:rsid w:val="7ACA45AB"/>
    <w:rsid w:val="7ADB737B"/>
    <w:rsid w:val="7B0D04CD"/>
    <w:rsid w:val="7B1259FA"/>
    <w:rsid w:val="7B7F25CD"/>
    <w:rsid w:val="7BAD47D9"/>
    <w:rsid w:val="7BBD4F47"/>
    <w:rsid w:val="7C7927C7"/>
    <w:rsid w:val="7CB244A3"/>
    <w:rsid w:val="7CD55D73"/>
    <w:rsid w:val="7CFD4E8B"/>
    <w:rsid w:val="7D1E5AAE"/>
    <w:rsid w:val="7D346662"/>
    <w:rsid w:val="7D541AAE"/>
    <w:rsid w:val="7E2A530B"/>
    <w:rsid w:val="7E5B45BC"/>
    <w:rsid w:val="7EFC5D86"/>
    <w:rsid w:val="7F5F07EF"/>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Lines w:val="0"/>
      <w:widowControl w:val="0"/>
      <w:spacing w:line="60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50" w:beforeLines="50" w:beforeAutospacing="0" w:after="50" w:afterLines="50" w:afterAutospacing="0" w:line="600" w:lineRule="exact"/>
      <w:outlineLvl w:val="0"/>
    </w:pPr>
    <w:rPr>
      <w:rFonts w:eastAsia="黑体"/>
      <w:kern w:val="44"/>
    </w:rPr>
  </w:style>
  <w:style w:type="paragraph" w:styleId="4">
    <w:name w:val="heading 2"/>
    <w:basedOn w:val="1"/>
    <w:next w:val="1"/>
    <w:unhideWhenUsed/>
    <w:qFormat/>
    <w:uiPriority w:val="0"/>
    <w:pPr>
      <w:keepNext w:val="0"/>
      <w:keepLines/>
      <w:spacing w:before="50" w:beforeLines="50" w:beforeAutospacing="0" w:after="50" w:afterLines="50" w:afterAutospacing="0" w:line="600" w:lineRule="exact"/>
      <w:outlineLvl w:val="1"/>
    </w:pPr>
    <w:rPr>
      <w:rFonts w:eastAsia="楷体_GB2312"/>
    </w:rPr>
  </w:style>
  <w:style w:type="paragraph" w:styleId="5">
    <w:name w:val="heading 3"/>
    <w:basedOn w:val="1"/>
    <w:next w:val="1"/>
    <w:unhideWhenUsed/>
    <w:qFormat/>
    <w:uiPriority w:val="0"/>
    <w:pPr>
      <w:keepNext w:val="0"/>
      <w:keepLines/>
      <w:spacing w:before="50" w:beforeLines="50" w:beforeAutospacing="0" w:afterLines="0" w:afterAutospacing="0" w:line="600" w:lineRule="exact"/>
      <w:outlineLvl w:val="2"/>
    </w:pPr>
    <w:rPr>
      <w:rFonts w:ascii="Times New Roman" w:hAnsi="Times New Roman"/>
      <w:b/>
    </w:rPr>
  </w:style>
  <w:style w:type="paragraph" w:styleId="6">
    <w:name w:val="heading 4"/>
    <w:basedOn w:val="1"/>
    <w:next w:val="1"/>
    <w:unhideWhenUsed/>
    <w:qFormat/>
    <w:uiPriority w:val="0"/>
    <w:pPr>
      <w:keepNext/>
      <w:keepLines/>
      <w:spacing w:before="0" w:beforeLines="0" w:beforeAutospacing="0" w:after="0" w:afterLines="0" w:afterAutospacing="0" w:line="600" w:lineRule="exact"/>
      <w:outlineLvl w:val="3"/>
    </w:pPr>
    <w:rPr>
      <w:rFonts w:ascii="Times New Roman" w:hAnsi="Times New Roman"/>
      <w:b/>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val="0"/>
      <w:spacing w:line="600" w:lineRule="exact"/>
      <w:ind w:left="0" w:leftChars="0" w:firstLine="880" w:firstLineChars="200"/>
      <w:jc w:val="both"/>
    </w:pPr>
    <w:rPr>
      <w:rFonts w:ascii="Times New Roman" w:hAnsi="Times New Roman" w:eastAsia="仿宋_GB2312" w:cs="Times New Roman"/>
      <w:kern w:val="2"/>
      <w:sz w:val="32"/>
      <w:szCs w:val="36"/>
      <w:lang w:val="en-US" w:eastAsia="zh-CN" w:bidi="ar-SA"/>
    </w:rPr>
  </w:style>
  <w:style w:type="paragraph" w:styleId="7">
    <w:name w:val="caption"/>
    <w:basedOn w:val="1"/>
    <w:next w:val="1"/>
    <w:semiHidden/>
    <w:unhideWhenUsed/>
    <w:qFormat/>
    <w:uiPriority w:val="0"/>
    <w:rPr>
      <w:rFonts w:ascii="Arial" w:hAnsi="Arial" w:eastAsia="黑体"/>
      <w:sz w:val="20"/>
    </w:rPr>
  </w:style>
  <w:style w:type="paragraph" w:styleId="8">
    <w:name w:val="annotation text"/>
    <w:qFormat/>
    <w:uiPriority w:val="0"/>
    <w:pPr>
      <w:widowControl w:val="0"/>
      <w:adjustRightInd w:val="0"/>
      <w:snapToGrid w:val="0"/>
      <w:spacing w:line="600" w:lineRule="exact"/>
      <w:ind w:firstLine="640" w:firstLineChars="200"/>
      <w:jc w:val="left"/>
    </w:pPr>
    <w:rPr>
      <w:rFonts w:ascii="Times New Roman" w:hAnsi="Times New Roman" w:eastAsia="仿宋_GB2312" w:cstheme="minorBidi"/>
      <w:kern w:val="2"/>
      <w:sz w:val="32"/>
      <w:szCs w:val="32"/>
      <w:lang w:val="en-US" w:eastAsia="zh-CN" w:bidi="ar-SA"/>
    </w:rPr>
  </w:style>
  <w:style w:type="paragraph" w:styleId="9">
    <w:name w:val="Body Text"/>
    <w:basedOn w:val="1"/>
    <w:next w:val="10"/>
    <w:qFormat/>
    <w:uiPriority w:val="0"/>
    <w:pPr>
      <w:spacing w:after="140" w:line="276" w:lineRule="auto"/>
    </w:pPr>
  </w:style>
  <w:style w:type="paragraph" w:customStyle="1" w:styleId="10">
    <w:name w:val="正文文本 21"/>
    <w:basedOn w:val="1"/>
    <w:qFormat/>
    <w:uiPriority w:val="0"/>
    <w:pPr>
      <w:widowControl/>
      <w:numPr>
        <w:ilvl w:val="0"/>
        <w:numId w:val="1"/>
      </w:numPr>
      <w:spacing w:beforeLines="50" w:line="336" w:lineRule="auto"/>
      <w:ind w:left="0" w:firstLine="0"/>
    </w:pPr>
    <w:rPr>
      <w:rFonts w:eastAsia="黑体"/>
      <w:szCs w:val="20"/>
    </w:rPr>
  </w:style>
  <w:style w:type="paragraph" w:styleId="11">
    <w:name w:val="Body Text Indent"/>
    <w:basedOn w:val="1"/>
    <w:next w:val="12"/>
    <w:semiHidden/>
    <w:unhideWhenUsed/>
    <w:qFormat/>
    <w:uiPriority w:val="99"/>
    <w:pPr>
      <w:spacing w:after="120"/>
      <w:ind w:left="420" w:leftChars="200"/>
    </w:p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3"/>
    <w:basedOn w:val="1"/>
    <w:next w:val="1"/>
    <w:qFormat/>
    <w:uiPriority w:val="0"/>
    <w:pPr>
      <w:ind w:left="0" w:leftChars="0"/>
    </w:pPr>
    <w:rPr>
      <w:rFonts w:ascii="Times New Roman" w:hAnsi="Times New Roman" w:eastAsia="仿宋_GB2312"/>
    </w:rPr>
  </w:style>
  <w:style w:type="paragraph" w:styleId="15">
    <w:name w:val="toc 1"/>
    <w:basedOn w:val="1"/>
    <w:next w:val="1"/>
    <w:qFormat/>
    <w:uiPriority w:val="0"/>
    <w:pPr>
      <w:ind w:firstLine="0" w:firstLineChars="0"/>
    </w:pPr>
    <w:rPr>
      <w:rFonts w:ascii="Times New Roman" w:hAnsi="Times New Roman" w:eastAsia="黑体"/>
    </w:rPr>
  </w:style>
  <w:style w:type="paragraph" w:styleId="16">
    <w:name w:val="footnote text"/>
    <w:basedOn w:val="17"/>
    <w:unhideWhenUsed/>
    <w:qFormat/>
    <w:uiPriority w:val="99"/>
    <w:pPr>
      <w:widowControl w:val="0"/>
      <w:snapToGrid w:val="0"/>
      <w:spacing w:line="240" w:lineRule="auto"/>
      <w:jc w:val="left"/>
    </w:pPr>
    <w:rPr>
      <w:rFonts w:ascii="Times New Roman" w:hAnsi="Times New Roman" w:eastAsia="仿宋_GB2312" w:cs="Times New Roman"/>
      <w:kern w:val="2"/>
      <w:sz w:val="18"/>
      <w:szCs w:val="18"/>
      <w:lang w:val="en-US" w:eastAsia="zh-CN" w:bidi="ar-SA"/>
    </w:rPr>
  </w:style>
  <w:style w:type="paragraph" w:customStyle="1" w:styleId="17">
    <w:name w:val="数据来源"/>
    <w:basedOn w:val="18"/>
    <w:qFormat/>
    <w:uiPriority w:val="0"/>
    <w:pPr>
      <w:widowControl w:val="0"/>
      <w:snapToGrid w:val="0"/>
      <w:spacing w:line="240" w:lineRule="auto"/>
      <w:ind w:firstLine="480" w:firstLineChars="200"/>
      <w:jc w:val="right"/>
    </w:pPr>
    <w:rPr>
      <w:rFonts w:ascii="Times New Roman" w:hAnsi="Times New Roman" w:eastAsia="仿宋_GB2312" w:cs="Times New Roman"/>
      <w:kern w:val="2"/>
      <w:sz w:val="24"/>
      <w:szCs w:val="18"/>
      <w:lang w:val="en-US" w:eastAsia="zh" w:bidi="ar-SA"/>
    </w:rPr>
  </w:style>
  <w:style w:type="paragraph" w:customStyle="1" w:styleId="18">
    <w:name w:val="来源"/>
    <w:qFormat/>
    <w:uiPriority w:val="0"/>
    <w:pPr>
      <w:widowControl w:val="0"/>
      <w:spacing w:line="240" w:lineRule="auto"/>
      <w:ind w:firstLine="0" w:firstLineChars="0"/>
      <w:jc w:val="right"/>
    </w:pPr>
    <w:rPr>
      <w:rFonts w:hint="eastAsia" w:ascii="Times New Roman" w:hAnsi="Times New Roman" w:eastAsia="FangSong_GB2312" w:cs="仿宋_GB2312"/>
      <w:kern w:val="2"/>
      <w:sz w:val="24"/>
      <w:szCs w:val="32"/>
      <w:lang w:val="en-US" w:eastAsia="zh-CN" w:bidi="ar-SA"/>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9"/>
    <w:semiHidden/>
    <w:unhideWhenUsed/>
    <w:qFormat/>
    <w:uiPriority w:val="99"/>
    <w:pPr>
      <w:ind w:firstLine="880" w:firstLineChars="200"/>
    </w:pPr>
    <w:rPr>
      <w:rFonts w:ascii="Times New Roman" w:hAnsi="Times New Roman"/>
    </w:rPr>
  </w:style>
  <w:style w:type="paragraph" w:styleId="21">
    <w:name w:val="Body Text First Indent 2"/>
    <w:basedOn w:val="11"/>
    <w:next w:val="1"/>
    <w:qFormat/>
    <w:uiPriority w:val="0"/>
    <w:pPr>
      <w:spacing w:after="0"/>
      <w:ind w:left="0" w:leftChars="0" w:firstLine="420" w:firstLineChars="200"/>
    </w:pPr>
    <w:rPr>
      <w:rFonts w:ascii="仿宋_GB2312" w:hAnsi="Times New Roman" w:eastAsia="仿宋_GB2312"/>
      <w:b/>
      <w:bCs/>
      <w:sz w:val="32"/>
      <w:szCs w:val="24"/>
    </w:rPr>
  </w:style>
  <w:style w:type="table" w:styleId="2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rPr>
  </w:style>
  <w:style w:type="character" w:styleId="26">
    <w:name w:val="FollowedHyperlink"/>
    <w:basedOn w:val="24"/>
    <w:qFormat/>
    <w:uiPriority w:val="0"/>
    <w:rPr>
      <w:color w:val="800080"/>
      <w:u w:val="single"/>
    </w:rPr>
  </w:style>
  <w:style w:type="character" w:styleId="27">
    <w:name w:val="Hyperlink"/>
    <w:basedOn w:val="24"/>
    <w:qFormat/>
    <w:uiPriority w:val="0"/>
    <w:rPr>
      <w:color w:val="0000FF"/>
      <w:u w:val="single"/>
    </w:rPr>
  </w:style>
  <w:style w:type="character" w:styleId="28">
    <w:name w:val="footnote reference"/>
    <w:basedOn w:val="24"/>
    <w:unhideWhenUsed/>
    <w:qFormat/>
    <w:uiPriority w:val="99"/>
    <w:rPr>
      <w:vertAlign w:val="superscript"/>
    </w:rPr>
  </w:style>
  <w:style w:type="paragraph" w:customStyle="1" w:styleId="29">
    <w:name w:val="图表名"/>
    <w:qFormat/>
    <w:uiPriority w:val="0"/>
    <w:pPr>
      <w:widowControl w:val="0"/>
      <w:spacing w:line="240" w:lineRule="auto"/>
      <w:jc w:val="center"/>
    </w:pPr>
    <w:rPr>
      <w:rFonts w:ascii="Times New Roman" w:hAnsi="Times New Roman" w:eastAsia="黑体" w:cs="黑体"/>
      <w:kern w:val="2"/>
      <w:sz w:val="24"/>
      <w:szCs w:val="36"/>
      <w:lang w:val="en-US" w:eastAsia="zh-CN" w:bidi="ar-SA"/>
    </w:rPr>
  </w:style>
  <w:style w:type="paragraph" w:customStyle="1" w:styleId="30">
    <w:name w:val="图表标题"/>
    <w:qFormat/>
    <w:uiPriority w:val="0"/>
    <w:pPr>
      <w:keepNext w:val="0"/>
      <w:keepLines w:val="0"/>
      <w:widowControl w:val="0"/>
      <w:numPr>
        <w:ilvl w:val="0"/>
        <w:numId w:val="0"/>
      </w:numPr>
      <w:kinsoku/>
      <w:wordWrap/>
      <w:overflowPunct/>
      <w:topLinePunct w:val="0"/>
      <w:autoSpaceDE/>
      <w:autoSpaceDN w:val="0"/>
      <w:bidi w:val="0"/>
      <w:adjustRightInd/>
      <w:snapToGrid/>
      <w:spacing w:line="240" w:lineRule="auto"/>
      <w:ind w:left="0" w:leftChars="0" w:firstLine="0" w:firstLineChars="0"/>
      <w:jc w:val="center"/>
      <w:textAlignment w:val="auto"/>
    </w:pPr>
    <w:rPr>
      <w:rFonts w:ascii="Times New Roman" w:hAnsi="Times New Roman" w:eastAsia="黑体" w:cs="仿宋_GB2312"/>
      <w:kern w:val="2"/>
      <w:sz w:val="24"/>
      <w:szCs w:val="24"/>
      <w:u w:val="none"/>
      <w:lang w:val="en-US" w:eastAsia="zh-CN" w:bidi="ar-SA"/>
    </w:rPr>
  </w:style>
  <w:style w:type="paragraph" w:customStyle="1" w:styleId="31">
    <w:name w:val="表格文字"/>
    <w:qFormat/>
    <w:uiPriority w:val="0"/>
    <w:pPr>
      <w:keepNext w:val="0"/>
      <w:keepLines w:val="0"/>
      <w:widowControl w:val="0"/>
      <w:numPr>
        <w:ilvl w:val="0"/>
        <w:numId w:val="0"/>
      </w:numPr>
      <w:kinsoku/>
      <w:wordWrap/>
      <w:overflowPunct/>
      <w:topLinePunct w:val="0"/>
      <w:autoSpaceDE/>
      <w:autoSpaceDN/>
      <w:bidi w:val="0"/>
      <w:adjustRightInd/>
      <w:snapToGrid/>
      <w:spacing w:before="0" w:beforeLines="0" w:line="240" w:lineRule="auto"/>
      <w:ind w:left="0" w:leftChars="0" w:firstLine="0" w:firstLineChars="0"/>
      <w:jc w:val="center"/>
      <w:textAlignment w:val="auto"/>
    </w:pPr>
    <w:rPr>
      <w:rFonts w:ascii="Times New Roman" w:hAnsi="Times New Roman" w:eastAsia="仿宋_GB2312" w:cs="宋体"/>
      <w:kern w:val="2"/>
      <w:sz w:val="18"/>
      <w:szCs w:val="32"/>
      <w:u w:val="none"/>
      <w:lang w:val="en-US" w:eastAsia="zh-CN" w:bidi="ar-SA"/>
    </w:rPr>
  </w:style>
  <w:style w:type="paragraph" w:customStyle="1" w:styleId="32">
    <w:name w:val="表注"/>
    <w:qFormat/>
    <w:uiPriority w:val="0"/>
    <w:pPr>
      <w:widowControl w:val="0"/>
      <w:autoSpaceDN w:val="0"/>
      <w:adjustRightInd w:val="0"/>
      <w:snapToGrid w:val="0"/>
      <w:spacing w:line="360" w:lineRule="auto"/>
      <w:ind w:firstLine="440" w:firstLineChars="200"/>
      <w:jc w:val="right"/>
      <w:textAlignment w:val="baseline"/>
    </w:pPr>
    <w:rPr>
      <w:rFonts w:ascii="楷体" w:hAnsi="楷体" w:eastAsia="楷体" w:cs="Times New Roman"/>
      <w:kern w:val="2"/>
      <w:sz w:val="22"/>
      <w:szCs w:val="22"/>
      <w:lang w:val="en-US" w:eastAsia="zh-CN" w:bidi="ar-SA"/>
    </w:rPr>
  </w:style>
  <w:style w:type="paragraph" w:customStyle="1" w:styleId="33">
    <w:name w:val="标"/>
    <w:qFormat/>
    <w:uiPriority w:val="0"/>
    <w:pPr>
      <w:widowControl/>
      <w:spacing w:line="360" w:lineRule="exact"/>
      <w:ind w:firstLine="0" w:firstLineChars="0"/>
      <w:jc w:val="center"/>
      <w:textAlignment w:val="bottom"/>
    </w:pPr>
    <w:rPr>
      <w:rFonts w:ascii="Times New Roman" w:hAnsi="Times New Roman" w:eastAsia="仿宋_GB2312" w:cs="Times New Roman"/>
      <w:kern w:val="2"/>
      <w:sz w:val="24"/>
      <w:szCs w:val="20"/>
      <w:lang w:val="en-US" w:eastAsia="zh-CN" w:bidi="ar-SA"/>
    </w:rPr>
  </w:style>
  <w:style w:type="character" w:customStyle="1" w:styleId="34">
    <w:name w:val="font11"/>
    <w:basedOn w:val="24"/>
    <w:qFormat/>
    <w:uiPriority w:val="0"/>
    <w:rPr>
      <w:rFonts w:hint="eastAsia" w:ascii="仿宋_GB2312" w:eastAsia="仿宋_GB2312" w:cs="仿宋_GB2312"/>
      <w:b/>
      <w:bCs/>
      <w:color w:val="000000"/>
      <w:sz w:val="24"/>
      <w:szCs w:val="24"/>
      <w:u w:val="none"/>
    </w:rPr>
  </w:style>
  <w:style w:type="character" w:customStyle="1" w:styleId="35">
    <w:name w:val="font21"/>
    <w:basedOn w:val="24"/>
    <w:qFormat/>
    <w:uiPriority w:val="0"/>
    <w:rPr>
      <w:rFonts w:hint="default" w:ascii="Times New Roman" w:hAnsi="Times New Roman" w:cs="Times New Roman"/>
      <w:color w:val="000000"/>
      <w:sz w:val="21"/>
      <w:szCs w:val="21"/>
      <w:u w:val="none"/>
    </w:rPr>
  </w:style>
  <w:style w:type="character" w:customStyle="1" w:styleId="36">
    <w:name w:val="font41"/>
    <w:basedOn w:val="24"/>
    <w:qFormat/>
    <w:uiPriority w:val="0"/>
    <w:rPr>
      <w:rFonts w:hint="eastAsia" w:ascii="宋体" w:hAnsi="宋体" w:eastAsia="宋体" w:cs="宋体"/>
      <w:color w:val="000000"/>
      <w:sz w:val="21"/>
      <w:szCs w:val="21"/>
      <w:u w:val="none"/>
    </w:rPr>
  </w:style>
  <w:style w:type="character" w:customStyle="1" w:styleId="37">
    <w:name w:val="font31"/>
    <w:basedOn w:val="24"/>
    <w:qFormat/>
    <w:uiPriority w:val="0"/>
    <w:rPr>
      <w:rFonts w:ascii="仿宋_GB2312" w:eastAsia="仿宋_GB2312" w:cs="仿宋_GB2312"/>
      <w:b/>
      <w:bCs/>
      <w:color w:val="000000"/>
      <w:sz w:val="24"/>
      <w:szCs w:val="24"/>
      <w:u w:val="none"/>
    </w:rPr>
  </w:style>
  <w:style w:type="paragraph" w:styleId="38">
    <w:name w:val="Quote"/>
    <w:basedOn w:val="1"/>
    <w:next w:val="1"/>
    <w:qFormat/>
    <w:uiPriority w:val="29"/>
    <w:pPr>
      <w:spacing w:line="300" w:lineRule="auto"/>
      <w:jc w:val="left"/>
    </w:pPr>
    <w:rPr>
      <w:rFonts w:ascii="楷体" w:hAnsi="楷体" w:cstheme="minorBidi"/>
      <w:iCs/>
      <w:color w:val="000000" w:themeColor="text1"/>
      <w:sz w:val="24"/>
      <w14:textFill>
        <w14:solidFill>
          <w14:schemeClr w14:val="tx1"/>
        </w14:solidFill>
      </w14:textFill>
    </w:rPr>
  </w:style>
  <w:style w:type="table" w:customStyle="1" w:styleId="39">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40">
    <w:name w:val="Body Text First Indent1"/>
    <w:basedOn w:val="9"/>
    <w:next w:val="41"/>
    <w:autoRedefine/>
    <w:qFormat/>
    <w:uiPriority w:val="0"/>
    <w:pPr>
      <w:ind w:firstLine="420" w:firstLineChars="100"/>
    </w:pPr>
  </w:style>
  <w:style w:type="paragraph" w:customStyle="1" w:styleId="41">
    <w:name w:val="Body Text First Indent 21"/>
    <w:basedOn w:val="42"/>
    <w:autoRedefine/>
    <w:qFormat/>
    <w:uiPriority w:val="0"/>
    <w:pPr>
      <w:ind w:firstLine="420" w:firstLineChars="200"/>
    </w:pPr>
  </w:style>
  <w:style w:type="paragraph" w:customStyle="1" w:styleId="42">
    <w:name w:val="Body Text Indent1"/>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f1b655f0-0de2-4e0a-b2fc-9ee78157e24b</errorID>
      <errorWord>坚持“人民城市人民建、人民城市为人民”</errorWord>
      <group>L1_Political</group>
      <groupName>政治性问题</groupName>
      <ability>L2_Keyword</ability>
      <abilityName>固定表述</abilityName>
      <candidateList>
        <item>坚持人民城市人民建、人民城市为人民</item>
      </candidateList>
      <explain>注意检查当前固定表述标点是否使用规范。</explain>
      <paraID>60B89DB1</paraID>
      <start>128</start>
      <end>147</end>
      <status>ignored</status>
      <modifiedWord/>
      <trackRevisions>false</trackRevisions>
    </reviewItem>
    <reviewItem>
      <errorID>4e3c7f71-25bd-4fb0-8082-6e5145f39c48</errorID>
      <errorWord>[2000]</errorWord>
      <group>L1_Punc</group>
      <groupName>标点问题</groupName>
      <ability>L2_Punc</ability>
      <abilityName>标点符号检查</abilityName>
      <candidateList>
        <item>〔2000〕</item>
      </candidateList>
      <explain/>
      <paraID>77C45F1B</paraID>
      <start>0</start>
      <end>6</end>
      <status>unmodified</status>
      <modifiedWord/>
      <trackRevisions>false</trackRevisions>
    </reviewItem>
    <reviewItem>
      <errorID>d015d5f2-8202-47e2-9e84-dd8db6ac50a2</errorID>
      <errorWord>群体等</errorWord>
      <group>L1_Word</group>
      <groupName>字词问题</groupName>
      <ability>L2_Typo</ability>
      <abilityName>字词错误</abilityName>
      <candidateList>
        <item>群体</item>
      </candidateList>
      <explain/>
      <paraID>75EFB799</paraID>
      <start>106</start>
      <end>109</end>
      <status>ignored</status>
      <modifiedWord/>
      <trackRevisions>false</trackRevisions>
    </reviewItem>
    <reviewItem>
      <errorID>1c97ae48-0a6c-4a2e-8ed2-0a041a8c0acb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6BFF4C11</paraID>
      <start>66</start>
      <end>67</end>
      <status>unmodified</status>
      <modifiedWord/>
      <trackRevisions>false</trackRevisions>
    </reviewItem>
    <reviewItem>
      <errorID>f975b4dc-f926-4ca6-bcda-53a452642eba</errorID>
      <errorWord>和行动统一到中央</errorWord>
      <group>L1_Word</group>
      <groupName>字词问题</groupName>
      <ability>L2_Typo</ability>
      <abilityName>字词错误</abilityName>
      <candidateList>
        <item>和行动统一到党中央</item>
      </candidateList>
      <explain/>
      <paraID>4047D898</paraID>
      <start>95</start>
      <end>103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50197-ffea-465b-8a02-8461b92b4ff1}">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10152</Words>
  <Characters>10566</Characters>
  <Lines>0</Lines>
  <Paragraphs>0</Paragraphs>
  <TotalTime>4</TotalTime>
  <ScaleCrop>false</ScaleCrop>
  <LinksUpToDate>false</LinksUpToDate>
  <CharactersWithSpaces>10624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2025-08-17T09:31:00Z</dcterms:created>
  <dc:creator>white</dc:creator>
  <cp:lastModifiedBy>WPS</cp:lastModifiedBy>
  <dcterms:modified xsi:type="dcterms:W3CDTF">2026-05-07T03:49:11Z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6768E6EBA01343E4ACC31005DDB94C92_13</vt:lpwstr>
  </property>
  <property fmtid="{D5CDD505-2E9C-101B-9397-08002B2CF9AE}" pid="4" name="KSOTemplateDocerSaveRecord">
    <vt:lpwstr>eyJoZGlkIjoiNzYzODJjMGVlNTU5ZDQ1MzAxMDE1ZjkxYjAzNjEzNzkiLCJ1c2VySWQiOiI3MzQ4NTM5NzUifQ==</vt:lpwstr>
  </property>
</Properties>
</file>